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DD811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Times New Roman" w:eastAsia="黑体" w:cs="Times New Roman"/>
          <w:b w:val="0"/>
          <w:bCs/>
          <w:w w:val="100"/>
          <w:sz w:val="48"/>
          <w:szCs w:val="20"/>
          <w:lang w:val="en-US" w:eastAsia="zh-CN" w:bidi="ar-SA"/>
        </w:rPr>
      </w:pPr>
      <w:bookmarkStart w:id="0" w:name="_GoBack"/>
      <w:bookmarkEnd w:id="0"/>
    </w:p>
    <w:p w14:paraId="5080E59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Times New Roman" w:eastAsia="黑体" w:cs="Times New Roman"/>
          <w:b w:val="0"/>
          <w:bCs/>
          <w:w w:val="100"/>
          <w:sz w:val="48"/>
          <w:szCs w:val="20"/>
          <w:lang w:val="en-US" w:eastAsia="zh-CN" w:bidi="ar-SA"/>
        </w:rPr>
      </w:pPr>
    </w:p>
    <w:p w14:paraId="2A69EF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Times New Roman" w:eastAsia="黑体" w:cs="Times New Roman"/>
          <w:b w:val="0"/>
          <w:bCs/>
          <w:w w:val="100"/>
          <w:sz w:val="48"/>
          <w:szCs w:val="20"/>
          <w:lang w:val="en-US" w:eastAsia="zh-CN" w:bidi="ar-SA"/>
        </w:rPr>
      </w:pPr>
    </w:p>
    <w:p w14:paraId="4F9DB51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Times New Roman" w:eastAsia="黑体" w:cs="Times New Roman"/>
          <w:b w:val="0"/>
          <w:bCs/>
          <w:w w:val="100"/>
          <w:sz w:val="48"/>
          <w:szCs w:val="20"/>
          <w:lang w:val="en-US" w:eastAsia="zh-CN" w:bidi="ar-SA"/>
        </w:rPr>
      </w:pPr>
      <w:r>
        <w:rPr>
          <w:rFonts w:hint="eastAsia" w:ascii="黑体" w:hAnsi="Times New Roman" w:eastAsia="黑体" w:cs="Times New Roman"/>
          <w:b w:val="0"/>
          <w:bCs/>
          <w:w w:val="100"/>
          <w:sz w:val="48"/>
          <w:szCs w:val="20"/>
          <w:lang w:val="en-US" w:eastAsia="zh-CN" w:bidi="ar-SA"/>
        </w:rPr>
        <w:t>《温室气体 产品碳足迹量化方法与要求 煤矸石制微晶玻璃（征求意见稿）》</w:t>
      </w:r>
    </w:p>
    <w:p w14:paraId="13FC54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Times New Roman" w:eastAsia="黑体" w:cs="Times New Roman"/>
          <w:b w:val="0"/>
          <w:bCs/>
          <w:w w:val="100"/>
          <w:sz w:val="48"/>
          <w:szCs w:val="20"/>
          <w:lang w:val="en-US" w:eastAsia="zh-CN" w:bidi="ar-SA"/>
        </w:rPr>
      </w:pPr>
    </w:p>
    <w:p w14:paraId="55CC3DD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Times New Roman" w:eastAsia="黑体" w:cs="Times New Roman"/>
          <w:b w:val="0"/>
          <w:bCs/>
          <w:w w:val="100"/>
          <w:sz w:val="48"/>
          <w:szCs w:val="20"/>
          <w:lang w:val="en-US" w:eastAsia="zh-CN" w:bidi="ar-SA"/>
        </w:rPr>
      </w:pPr>
      <w:r>
        <w:rPr>
          <w:rFonts w:hint="eastAsia" w:ascii="黑体" w:hAnsi="Times New Roman" w:eastAsia="黑体" w:cs="Times New Roman"/>
          <w:b w:val="0"/>
          <w:bCs/>
          <w:w w:val="100"/>
          <w:sz w:val="48"/>
          <w:szCs w:val="20"/>
          <w:lang w:val="en-US" w:eastAsia="zh-CN" w:bidi="ar-SA"/>
        </w:rPr>
        <w:t>编制说明</w:t>
      </w:r>
    </w:p>
    <w:p w14:paraId="79F4D3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Times New Roman" w:eastAsia="黑体" w:cs="Times New Roman"/>
          <w:b w:val="0"/>
          <w:bCs/>
          <w:w w:val="100"/>
          <w:sz w:val="48"/>
          <w:szCs w:val="20"/>
          <w:lang w:val="en-US" w:eastAsia="zh-CN" w:bidi="ar-SA"/>
        </w:rPr>
      </w:pPr>
    </w:p>
    <w:p w14:paraId="24D32B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Times New Roman" w:eastAsia="黑体" w:cs="Times New Roman"/>
          <w:b w:val="0"/>
          <w:bCs/>
          <w:w w:val="100"/>
          <w:sz w:val="48"/>
          <w:szCs w:val="20"/>
          <w:lang w:val="en-US" w:eastAsia="zh-CN" w:bidi="ar-SA"/>
        </w:rPr>
      </w:pPr>
    </w:p>
    <w:p w14:paraId="21DE78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Times New Roman" w:eastAsia="黑体" w:cs="Times New Roman"/>
          <w:b w:val="0"/>
          <w:bCs/>
          <w:w w:val="100"/>
          <w:sz w:val="48"/>
          <w:szCs w:val="20"/>
          <w:lang w:val="en-US" w:eastAsia="zh-CN" w:bidi="ar-SA"/>
        </w:rPr>
      </w:pPr>
    </w:p>
    <w:p w14:paraId="30CAB47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Times New Roman" w:eastAsia="黑体" w:cs="Times New Roman"/>
          <w:b w:val="0"/>
          <w:bCs/>
          <w:w w:val="100"/>
          <w:sz w:val="48"/>
          <w:szCs w:val="20"/>
          <w:lang w:val="en-US" w:eastAsia="zh-CN" w:bidi="ar-SA"/>
        </w:rPr>
      </w:pPr>
    </w:p>
    <w:p w14:paraId="654B78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Times New Roman" w:eastAsia="黑体" w:cs="Times New Roman"/>
          <w:b w:val="0"/>
          <w:bCs/>
          <w:w w:val="100"/>
          <w:sz w:val="48"/>
          <w:szCs w:val="20"/>
          <w:lang w:val="en-US" w:eastAsia="zh-CN" w:bidi="ar-SA"/>
        </w:rPr>
      </w:pPr>
    </w:p>
    <w:p w14:paraId="350AD05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Times New Roman" w:eastAsia="黑体" w:cs="Times New Roman"/>
          <w:b w:val="0"/>
          <w:bCs/>
          <w:w w:val="100"/>
          <w:sz w:val="48"/>
          <w:szCs w:val="20"/>
          <w:lang w:val="en-US" w:eastAsia="zh-CN" w:bidi="ar-SA"/>
        </w:rPr>
      </w:pPr>
    </w:p>
    <w:p w14:paraId="6EBCE0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Times New Roman" w:eastAsia="黑体" w:cs="Times New Roman"/>
          <w:b w:val="0"/>
          <w:bCs/>
          <w:w w:val="100"/>
          <w:sz w:val="48"/>
          <w:szCs w:val="20"/>
          <w:lang w:val="en-US" w:eastAsia="zh-CN" w:bidi="ar-SA"/>
        </w:rPr>
      </w:pPr>
    </w:p>
    <w:p w14:paraId="63FADF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Times New Roman" w:eastAsia="黑体" w:cs="Times New Roman"/>
          <w:b w:val="0"/>
          <w:bCs/>
          <w:w w:val="100"/>
          <w:sz w:val="48"/>
          <w:szCs w:val="20"/>
          <w:lang w:val="en-US" w:eastAsia="zh-CN" w:bidi="ar-SA"/>
        </w:rPr>
      </w:pPr>
    </w:p>
    <w:p w14:paraId="7309B98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Times New Roman" w:eastAsia="黑体" w:cs="Times New Roman"/>
          <w:b w:val="0"/>
          <w:bCs/>
          <w:w w:val="100"/>
          <w:sz w:val="48"/>
          <w:szCs w:val="20"/>
          <w:lang w:val="en-US" w:eastAsia="zh-CN" w:bidi="ar-SA"/>
        </w:rPr>
      </w:pPr>
    </w:p>
    <w:p w14:paraId="5BB10C6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Times New Roman" w:eastAsia="黑体" w:cs="Times New Roman"/>
          <w:b w:val="0"/>
          <w:bCs/>
          <w:w w:val="100"/>
          <w:sz w:val="48"/>
          <w:szCs w:val="20"/>
          <w:lang w:val="en-US" w:eastAsia="zh-CN" w:bidi="ar-SA"/>
        </w:rPr>
      </w:pPr>
    </w:p>
    <w:p w14:paraId="3DF2216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Times New Roman" w:eastAsia="黑体" w:cs="Times New Roman"/>
          <w:b w:val="0"/>
          <w:bCs/>
          <w:w w:val="100"/>
          <w:sz w:val="48"/>
          <w:szCs w:val="20"/>
          <w:lang w:val="en-US" w:eastAsia="zh-CN" w:bidi="ar-SA"/>
        </w:rPr>
      </w:pPr>
    </w:p>
    <w:p w14:paraId="039A3FD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Times New Roman" w:eastAsia="黑体" w:cs="Times New Roman"/>
          <w:b w:val="0"/>
          <w:bCs/>
          <w:w w:val="100"/>
          <w:sz w:val="48"/>
          <w:szCs w:val="20"/>
          <w:lang w:val="en-US" w:eastAsia="zh-CN" w:bidi="ar-SA"/>
        </w:rPr>
      </w:pPr>
    </w:p>
    <w:p w14:paraId="040F07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Times New Roman" w:eastAsia="黑体" w:cs="Times New Roman"/>
          <w:b w:val="0"/>
          <w:bCs/>
          <w:w w:val="100"/>
          <w:sz w:val="48"/>
          <w:szCs w:val="20"/>
          <w:lang w:val="en-US" w:eastAsia="zh-CN" w:bidi="ar-SA"/>
        </w:rPr>
      </w:pPr>
    </w:p>
    <w:p w14:paraId="3B24A9E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Times New Roman" w:eastAsia="黑体" w:cs="Times New Roman"/>
          <w:b w:val="0"/>
          <w:bCs/>
          <w:w w:val="100"/>
          <w:sz w:val="36"/>
          <w:szCs w:val="36"/>
          <w:lang w:val="en-US" w:eastAsia="zh-CN" w:bidi="ar-SA"/>
        </w:rPr>
      </w:pPr>
      <w:r>
        <w:rPr>
          <w:rFonts w:hint="eastAsia" w:ascii="黑体" w:hAnsi="Times New Roman" w:eastAsia="黑体" w:cs="Times New Roman"/>
          <w:b w:val="0"/>
          <w:bCs/>
          <w:w w:val="100"/>
          <w:sz w:val="36"/>
          <w:szCs w:val="36"/>
          <w:lang w:val="en-US" w:eastAsia="zh-CN" w:bidi="ar-SA"/>
        </w:rPr>
        <w:t>标准编制组</w:t>
      </w:r>
    </w:p>
    <w:p w14:paraId="4DBCBA2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Times New Roman" w:eastAsia="黑体" w:cs="Times New Roman"/>
          <w:b w:val="0"/>
          <w:bCs/>
          <w:w w:val="100"/>
          <w:sz w:val="36"/>
          <w:szCs w:val="36"/>
          <w:lang w:val="en-US" w:eastAsia="zh-CN" w:bidi="ar-SA"/>
        </w:rPr>
      </w:pPr>
      <w:r>
        <w:rPr>
          <w:rFonts w:hint="eastAsia" w:ascii="黑体" w:hAnsi="Times New Roman" w:eastAsia="黑体" w:cs="Times New Roman"/>
          <w:b w:val="0"/>
          <w:bCs/>
          <w:w w:val="100"/>
          <w:sz w:val="36"/>
          <w:szCs w:val="36"/>
          <w:lang w:val="en-US" w:eastAsia="zh-CN" w:bidi="ar-SA"/>
        </w:rPr>
        <w:t>2026年1月</w:t>
      </w:r>
    </w:p>
    <w:p w14:paraId="19514ED6">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5" w:leftChars="0" w:hanging="425" w:firstLineChars="0"/>
        <w:jc w:val="left"/>
        <w:textAlignment w:val="auto"/>
        <w:rPr>
          <w:rFonts w:hint="default" w:ascii="黑体" w:hAnsi="Times New Roman" w:eastAsia="黑体" w:cs="Times New Roman"/>
          <w:b w:val="0"/>
          <w:bCs/>
          <w:w w:val="100"/>
          <w:sz w:val="32"/>
          <w:szCs w:val="32"/>
          <w:lang w:val="en-US" w:eastAsia="zh-CN" w:bidi="ar-SA"/>
        </w:rPr>
      </w:pPr>
      <w:r>
        <w:rPr>
          <w:rFonts w:hint="eastAsia" w:ascii="黑体" w:hAnsi="Times New Roman" w:eastAsia="黑体" w:cs="Times New Roman"/>
          <w:b w:val="0"/>
          <w:bCs/>
          <w:w w:val="100"/>
          <w:sz w:val="32"/>
          <w:szCs w:val="32"/>
          <w:lang w:val="en-US" w:eastAsia="zh-CN" w:bidi="ar-SA"/>
        </w:rPr>
        <w:t>项目背景</w:t>
      </w:r>
    </w:p>
    <w:p w14:paraId="52260E0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黑体" w:hAnsi="Times New Roman" w:eastAsia="黑体" w:cs="Times New Roman"/>
          <w:b w:val="0"/>
          <w:bCs/>
          <w:w w:val="100"/>
          <w:sz w:val="32"/>
          <w:szCs w:val="32"/>
          <w:lang w:val="en-US" w:eastAsia="zh-CN" w:bidi="ar-SA"/>
        </w:rPr>
      </w:pPr>
      <w:r>
        <w:rPr>
          <w:rFonts w:hint="eastAsia" w:ascii="黑体" w:hAnsi="Times New Roman" w:eastAsia="黑体" w:cs="Times New Roman"/>
          <w:b w:val="0"/>
          <w:bCs/>
          <w:w w:val="100"/>
          <w:sz w:val="32"/>
          <w:szCs w:val="32"/>
          <w:lang w:val="en-US" w:eastAsia="zh-CN" w:bidi="ar-SA"/>
        </w:rPr>
        <w:t>1.1任务来源</w:t>
      </w:r>
    </w:p>
    <w:p w14:paraId="5A70A216">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黑体" w:hAnsi="Times New Roman" w:eastAsia="黑体" w:cs="Times New Roman"/>
          <w:b w:val="0"/>
          <w:bCs/>
          <w:w w:val="100"/>
          <w:sz w:val="36"/>
          <w:szCs w:val="36"/>
          <w:lang w:val="en-US" w:eastAsia="zh-CN" w:bidi="ar-SA"/>
        </w:rPr>
      </w:pPr>
      <w:r>
        <w:rPr>
          <w:rFonts w:hint="default" w:ascii="宋体" w:hAnsi="宋体" w:eastAsia="宋体" w:cs="宋体"/>
          <w:kern w:val="0"/>
          <w:sz w:val="28"/>
          <w:szCs w:val="28"/>
          <w:lang w:val="en-US" w:eastAsia="zh-CN" w:bidi="ar-SA"/>
        </w:rPr>
        <w:t>基于陕西生态龙门绿碳产业有限公司煤矸石制微晶玻璃项目碳足迹核算方法学及标准的研究，为大宗固废煤矸石制备绿色建材微晶玻璃的循环利用工业化生产线项目,在规定清晰具体的工艺边界条件下，制定规范的碳足</w:t>
      </w:r>
      <w:r>
        <w:rPr>
          <w:rFonts w:hint="eastAsia" w:ascii="宋体" w:hAnsi="宋体" w:eastAsia="宋体" w:cs="宋体"/>
          <w:kern w:val="0"/>
          <w:sz w:val="28"/>
          <w:szCs w:val="28"/>
          <w:lang w:val="en-US" w:eastAsia="zh-CN" w:bidi="ar-SA"/>
        </w:rPr>
        <w:t>迹</w:t>
      </w:r>
      <w:r>
        <w:rPr>
          <w:rFonts w:hint="default" w:ascii="宋体" w:hAnsi="宋体" w:eastAsia="宋体" w:cs="宋体"/>
          <w:kern w:val="0"/>
          <w:sz w:val="28"/>
          <w:szCs w:val="28"/>
          <w:lang w:val="en-US" w:eastAsia="zh-CN" w:bidi="ar-SA"/>
        </w:rPr>
        <w:t>核算方法。针对现有标准在煤矸石制微晶玻璃在资源化应用中的局限性，研究将构建本土化碳核算框架。重点开发适用于煤矸石等大宗固废的动态替代系数模型，量化固废替代原生原料的碳抵消效益。通过整合《温室气体产品碳足迹量化要求和指南》GB/T 24067-2024与煤矸石等大宗固废特性，建立涵盖原料替代、工艺优化的核算边界规则，实现煤矸石制备微晶玻璃碳减排效益的精准表征。</w:t>
      </w:r>
    </w:p>
    <w:p w14:paraId="7F92DE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黑体" w:hAnsi="Times New Roman" w:eastAsia="黑体" w:cs="Times New Roman"/>
          <w:b w:val="0"/>
          <w:bCs/>
          <w:w w:val="100"/>
          <w:sz w:val="32"/>
          <w:szCs w:val="32"/>
          <w:lang w:val="en-US" w:eastAsia="zh-CN" w:bidi="ar-SA"/>
        </w:rPr>
      </w:pPr>
      <w:r>
        <w:rPr>
          <w:rFonts w:hint="eastAsia" w:ascii="黑体" w:hAnsi="Times New Roman" w:eastAsia="黑体" w:cs="Times New Roman"/>
          <w:b w:val="0"/>
          <w:bCs/>
          <w:w w:val="100"/>
          <w:sz w:val="32"/>
          <w:szCs w:val="32"/>
          <w:lang w:val="en-US" w:eastAsia="zh-CN" w:bidi="ar-SA"/>
        </w:rPr>
        <w:t>1.2工作过程</w:t>
      </w:r>
    </w:p>
    <w:p w14:paraId="43670255">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(1)成立标准编制组</w:t>
      </w:r>
    </w:p>
    <w:p w14:paraId="1D329792">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2025年6月，西安建筑科技大学设计研究总院有限公司作为项目承担单位，接到任务后，立即组织西安建筑科技大学、陕西生态龙门绿碳产业有限公司和陕西省建筑科学研究院有限公司等4家单位中熟悉煤矸石制微晶玻璃碳足迹研究的人员组建标准编制工作组，讨论确定了标准的主要内容及分工，制定了标准编制计划。</w:t>
      </w:r>
    </w:p>
    <w:p w14:paraId="21CE94B2">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(2)碳足迹标准现状和行业概况调研</w:t>
      </w:r>
    </w:p>
    <w:p w14:paraId="1D79ABCC">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编制组检索、查询和收集了国内外碳足迹的政策法规、标准体系、核算方法以及文献资料，对我国煤矸石制微晶玻璃行业情况进行调研，组织召开编制组内部研讨会，初步确定了标准制定思路、技术路线和标准编制大纲。</w:t>
      </w:r>
    </w:p>
    <w:p w14:paraId="7C31471C">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(3)编制开题论证报告和标准草案</w:t>
      </w:r>
    </w:p>
    <w:p w14:paraId="4CBAAAA5">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编制组系统梳理了煤矸石制微晶玻璃企业生产及温室气体排放情况，对标准的范围、术语和定义、技术要求等内容进行了充分研究和讨论，确定了标准的适用范围、总体架构、主要内容、核心指标等，在此基础上编制标准的开题论证报告和标准草案。</w:t>
      </w:r>
    </w:p>
    <w:p w14:paraId="13D93FAD">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(4)开题论证</w:t>
      </w:r>
    </w:p>
    <w:p w14:paraId="3B7F1F7F">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陕西建材科技集团股份有限公司组织召开标准开题论证会，组织相关专家对开题论证报告和标准草案进行了论证，会议通过了该标准的开题论证，并提出了下一步的工作建议。</w:t>
      </w:r>
    </w:p>
    <w:p w14:paraId="0D6C02A4">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(5)企业调研与碳足迹因子研究</w:t>
      </w:r>
    </w:p>
    <w:p w14:paraId="630AC3FA">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编制组先后开展了文献调研和碳足迹因子数据库调研等工作，梳理煤矸石制微晶玻璃产品碳足迹核算所需的原辅材料、能源、运输等因子需求。开展煤矸石制微晶玻璃企业碳足迹量化应用调研，就活动水平收集、因子选取等内容进行深入交流，并开展企业碳足迹试算工作。</w:t>
      </w:r>
    </w:p>
    <w:p w14:paraId="175B604F">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(6)编制标准征求意见稿及编制说明</w:t>
      </w:r>
    </w:p>
    <w:p w14:paraId="22889D3F">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编制组多次召开内部讨论会，就标准的主要技术内容等关键问题进行研讨，并形成了标准文本征求意见稿初稿及编制说明初稿。</w:t>
      </w:r>
    </w:p>
    <w:p w14:paraId="4EDDAC48">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5" w:leftChars="0" w:hanging="425" w:firstLineChars="0"/>
        <w:jc w:val="left"/>
        <w:textAlignment w:val="auto"/>
        <w:rPr>
          <w:rFonts w:hint="default" w:ascii="黑体" w:hAnsi="Times New Roman" w:eastAsia="黑体" w:cs="Times New Roman"/>
          <w:b w:val="0"/>
          <w:bCs/>
          <w:w w:val="100"/>
          <w:sz w:val="32"/>
          <w:szCs w:val="32"/>
          <w:lang w:val="en-US" w:eastAsia="zh-CN" w:bidi="ar-SA"/>
        </w:rPr>
      </w:pPr>
      <w:r>
        <w:rPr>
          <w:rFonts w:hint="default" w:ascii="黑体" w:hAnsi="Times New Roman" w:eastAsia="黑体" w:cs="Times New Roman"/>
          <w:b w:val="0"/>
          <w:bCs/>
          <w:w w:val="100"/>
          <w:sz w:val="32"/>
          <w:szCs w:val="32"/>
          <w:lang w:val="en-US" w:eastAsia="zh-CN" w:bidi="ar-SA"/>
        </w:rPr>
        <w:t>行业概况及标准制订的必要性分析</w:t>
      </w:r>
    </w:p>
    <w:p w14:paraId="4CA2911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黑体" w:hAnsi="Times New Roman" w:eastAsia="黑体" w:cs="Times New Roman"/>
          <w:b w:val="0"/>
          <w:bCs/>
          <w:w w:val="100"/>
          <w:sz w:val="32"/>
          <w:szCs w:val="32"/>
          <w:lang w:val="en-US" w:eastAsia="zh-CN" w:bidi="ar-SA"/>
        </w:rPr>
      </w:pPr>
    </w:p>
    <w:p w14:paraId="1679419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黑体" w:hAnsi="Times New Roman" w:eastAsia="黑体" w:cs="Times New Roman"/>
          <w:b w:val="0"/>
          <w:bCs/>
          <w:w w:val="100"/>
          <w:sz w:val="32"/>
          <w:szCs w:val="32"/>
          <w:lang w:val="en-US" w:eastAsia="zh-CN" w:bidi="ar-SA"/>
        </w:rPr>
      </w:pPr>
      <w:r>
        <w:rPr>
          <w:rFonts w:hint="eastAsia" w:ascii="黑体" w:hAnsi="Times New Roman" w:eastAsia="黑体" w:cs="Times New Roman"/>
          <w:b w:val="0"/>
          <w:bCs/>
          <w:w w:val="100"/>
          <w:sz w:val="32"/>
          <w:szCs w:val="32"/>
          <w:lang w:val="en-US" w:eastAsia="zh-CN" w:bidi="ar-SA"/>
        </w:rPr>
        <w:t>2.1行业概况</w:t>
      </w:r>
    </w:p>
    <w:p w14:paraId="5461BBF8">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kern w:val="0"/>
          <w:sz w:val="28"/>
          <w:szCs w:val="28"/>
          <w:lang w:val="en-US" w:eastAsia="zh-CN" w:bidi="ar-SA"/>
        </w:rPr>
      </w:pPr>
      <w:r>
        <w:rPr>
          <w:rFonts w:hint="default" w:ascii="宋体" w:hAnsi="宋体" w:eastAsia="宋体" w:cs="宋体"/>
          <w:kern w:val="0"/>
          <w:sz w:val="28"/>
          <w:szCs w:val="28"/>
          <w:lang w:val="en-US" w:eastAsia="zh-CN" w:bidi="ar-SA"/>
        </w:rPr>
        <w:t>煤矸石制备微晶玻璃的行业发展背景与我国固体废物治理的总体战略和政策导向密切相关。当前，我国固体废物年产生量超过110亿吨，治理思路正从“被动处理”转向“主动管控”。国家层面自2018年起推动“无废城市”建设，2020年修订《固体废物污染环境防治法》，明确提出鼓励对煤矸石等矿业固体废物进行综合利用。后续政策如《减污降碳协同增效实施方案》《关于加快经济社会发展全面绿色转型的意见》及“十五五”规划建议等，均强调推动工业领域全流程绿色发展、提升大宗固废资源化利用水平，并设定到2030年大宗固体废弃物年利用量达到45亿吨左右的目标。2025年至2026年，国务院进一步部署遏制固废增长、完善综合治理体系，并印发《固体废物综合治理行动计划》，强调提升大宗固废资源化能力与标准化建设。</w:t>
      </w:r>
    </w:p>
    <w:p w14:paraId="431B1AE1">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黑体" w:hAnsi="Times New Roman" w:eastAsia="黑体" w:cs="Times New Roman"/>
          <w:b w:val="0"/>
          <w:bCs/>
          <w:w w:val="100"/>
          <w:sz w:val="32"/>
          <w:szCs w:val="32"/>
          <w:lang w:val="en-US" w:eastAsia="zh-CN" w:bidi="ar-SA"/>
        </w:rPr>
      </w:pPr>
      <w:r>
        <w:rPr>
          <w:rFonts w:hint="default" w:ascii="宋体" w:hAnsi="宋体" w:eastAsia="宋体" w:cs="宋体"/>
          <w:kern w:val="0"/>
          <w:sz w:val="28"/>
          <w:szCs w:val="28"/>
          <w:lang w:val="en-US" w:eastAsia="zh-CN" w:bidi="ar-SA"/>
        </w:rPr>
        <w:t>在地方层面，陕西省2021年修订《固体废物污染环境防治条例》，2024年出台《加快构建废弃物循环利用体系工作方案》，明确2025年初步建成、2030年全面建成废弃物循环利用体系的目标。这些国家与省级政策的叠加，为煤矸石等大宗工业固废的高值化利用——如制备微晶玻璃——提供了明确的政策支撑与市场导向，推动该技术向标准化、规模化、资源化与低碳化方向发展。</w:t>
      </w:r>
    </w:p>
    <w:p w14:paraId="447AAFE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黑体" w:hAnsi="Times New Roman" w:eastAsia="黑体" w:cs="Times New Roman"/>
          <w:b w:val="0"/>
          <w:bCs/>
          <w:w w:val="100"/>
          <w:sz w:val="32"/>
          <w:szCs w:val="32"/>
          <w:lang w:val="en-US" w:eastAsia="zh-CN" w:bidi="ar-SA"/>
        </w:rPr>
      </w:pPr>
      <w:r>
        <w:rPr>
          <w:rFonts w:hint="eastAsia" w:ascii="黑体" w:hAnsi="Times New Roman" w:eastAsia="黑体" w:cs="Times New Roman"/>
          <w:b w:val="0"/>
          <w:bCs/>
          <w:w w:val="100"/>
          <w:sz w:val="32"/>
          <w:szCs w:val="32"/>
          <w:lang w:val="en-US" w:eastAsia="zh-CN" w:bidi="ar-SA"/>
        </w:rPr>
        <w:t>2.2标准制订必要性</w:t>
      </w:r>
    </w:p>
    <w:p w14:paraId="4ADD95D5">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为深入贯彻落实党中央、国务院关于“碳达峰、碳中和”的重大战略决策，以及《中华人民共和国固体废物污染环境防治法》、《2024-2025年节能降碳行动方案》、《关于“十四五”大宗固体废弃物综合利用的指导意见》等文件精神，应大力发展绿色建材，提高固废资源化利用效率，推广节能环保、固废利用生产新技术，推动建材行业绿色低碳、高质量发展。《2030年前碳达峰行动方案》明确提出“探索建立重点产品全生命周期碳足迹标准”，生态环境部《关于建立我国碳足迹管理体系的实施方案》进一步把“平板玻璃”列入首批核算范围，并指出“逐步扩展至其他建材产品”，煤矸石制微晶玻璃作为资源综合利用与建材的交叉领域，目前处于标准空白状态，急需通过团体标准先行先试，为国家后续制定行业标准提供成熟模板。</w:t>
      </w:r>
    </w:p>
    <w:p w14:paraId="3C58E310">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陕西省工信厅、陕西省发改委及陕西省生态环境厅，在《陕西省工业领域碳达峰实施方案》中提出鼓励依法制定更严格的地方标准、培育先进团体标准。</w:t>
      </w:r>
    </w:p>
    <w:p w14:paraId="2D0CCF6C">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当前国内仅对平板玻璃、建筑卫生陶瓷等大类发布碳足迹量化方法，缺少针对“煤矸石+退火晶化”特殊工艺的排放因子、系统边界与分配规则，导致不同机构核算结果差异，阻碍EPD国际互认。</w:t>
      </w:r>
    </w:p>
    <w:p w14:paraId="7F400519">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微晶玻璃是具有发展前途的21世纪的新型材料，其集中了玻璃、陶瓷、天然石材等产品的优点，随着相关技术不断突破，微晶玻璃的应用范围逐渐扩展，市场规模持续扩大。</w:t>
      </w:r>
    </w:p>
    <w:p w14:paraId="4F552543">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5" w:leftChars="0" w:hanging="425" w:firstLineChars="0"/>
        <w:jc w:val="left"/>
        <w:textAlignment w:val="auto"/>
        <w:rPr>
          <w:rFonts w:hint="default" w:ascii="黑体" w:hAnsi="Times New Roman" w:eastAsia="黑体" w:cs="Times New Roman"/>
          <w:b w:val="0"/>
          <w:bCs/>
          <w:w w:val="100"/>
          <w:sz w:val="32"/>
          <w:szCs w:val="32"/>
          <w:lang w:val="en-US" w:eastAsia="zh-CN" w:bidi="ar-SA"/>
        </w:rPr>
      </w:pPr>
      <w:r>
        <w:rPr>
          <w:rFonts w:hint="eastAsia" w:ascii="黑体" w:hAnsi="Times New Roman" w:eastAsia="黑体" w:cs="Times New Roman"/>
          <w:b w:val="0"/>
          <w:bCs/>
          <w:w w:val="100"/>
          <w:sz w:val="32"/>
          <w:szCs w:val="32"/>
          <w:lang w:val="en-US" w:eastAsia="zh-CN" w:bidi="ar-SA"/>
        </w:rPr>
        <w:t>国内外相关标准情况的研究</w:t>
      </w:r>
    </w:p>
    <w:p w14:paraId="4FCEFACF">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微晶玻璃是通过受控晶化技术，在玻璃基体中生长出大量微小晶体而形成的一类高性能无机非金属材料。它兼具了玻璃的优异成形性、陶瓷的高机械强度、低热膨胀系数、高化学稳定性等独特性能，使其成为现代工业中不可或缺的关键材料。进入21世纪以来，随着新一代信息技术的爆发式发展和高端制造业的转型升级，微晶玻璃的应用领域不断拓宽，其产业格局和技术前沿也在全球范围内发生着深刻变化。</w:t>
      </w:r>
    </w:p>
    <w:p w14:paraId="52C3F97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黑体" w:hAnsi="Times New Roman" w:eastAsia="黑体" w:cs="Times New Roman"/>
          <w:b w:val="0"/>
          <w:bCs/>
          <w:w w:val="100"/>
          <w:sz w:val="32"/>
          <w:szCs w:val="32"/>
          <w:lang w:val="en-US" w:eastAsia="zh-CN" w:bidi="ar-SA"/>
        </w:rPr>
      </w:pPr>
      <w:r>
        <w:rPr>
          <w:rFonts w:hint="eastAsia" w:ascii="黑体" w:hAnsi="Times New Roman" w:eastAsia="黑体" w:cs="Times New Roman"/>
          <w:b w:val="0"/>
          <w:bCs/>
          <w:w w:val="100"/>
          <w:sz w:val="32"/>
          <w:szCs w:val="32"/>
          <w:lang w:val="en-US" w:eastAsia="zh-CN" w:bidi="ar-SA"/>
        </w:rPr>
        <w:t>3.1国外现状</w:t>
      </w:r>
    </w:p>
    <w:p w14:paraId="3B11DA41">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国外无论在微晶玻璃研发、产业化，还是理论研究都取得了显著的成果。全球主要的微晶玻璃生产企业主要生产低膨胀、耐热、光敏、装饰等微晶玻璃。此外，欧洲国家利用尾矿生产建筑用尾矿微晶玻璃，在二次资源综合利用方面作用明显。欧洲依托高炉渣、焚烧飞灰制备建筑微晶饰面板，德国弗劳恩霍夫研究所建成年产50万㎡连续压延示范线，CO2排放较传统陶瓷降低32%，但尚未形成10万吨级产能。</w:t>
      </w:r>
    </w:p>
    <w:p w14:paraId="49B99B13">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在应用领域上，德国肖特，日本小原等公司生产的零膨胀/低膨胀微晶玻璃，被广泛应用于大型天文望远镜坯体、造卫星镜面和光刻机晶圆平台等尖端领域，技术门槛极高，几乎处于垄断地位。欧洲凯罗、康宁等企业在灶具面板、建筑幕墙等传统领域市场稳定，产品以卓越的热稳定性和美观性著称。康宁公司的大猩猩玻璃系列（属于微晶玻璃或相关强化玻璃）长期主导高端手机盖板市场，是消费电子领域的标杆。</w:t>
      </w:r>
    </w:p>
    <w:p w14:paraId="61DBD5B6">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全球领先企业正致力于推动微晶玻璃性能的极限化和功能的复合化。通过成分设计与晶化工艺的精准调控，不断追求更高的强度、更低的介电损耗、更优的热稳定性。</w:t>
      </w:r>
    </w:p>
    <w:p w14:paraId="47EB08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黑体" w:hAnsi="Times New Roman" w:eastAsia="黑体" w:cs="Times New Roman"/>
          <w:b w:val="0"/>
          <w:bCs/>
          <w:w w:val="100"/>
          <w:sz w:val="32"/>
          <w:szCs w:val="32"/>
          <w:lang w:val="en-US" w:eastAsia="zh-CN" w:bidi="ar-SA"/>
        </w:rPr>
      </w:pPr>
      <w:r>
        <w:rPr>
          <w:rFonts w:hint="eastAsia" w:ascii="黑体" w:hAnsi="Times New Roman" w:eastAsia="黑体" w:cs="Times New Roman"/>
          <w:b w:val="0"/>
          <w:bCs/>
          <w:w w:val="100"/>
          <w:sz w:val="32"/>
          <w:szCs w:val="32"/>
          <w:lang w:val="en-US" w:eastAsia="zh-CN" w:bidi="ar-SA"/>
        </w:rPr>
        <w:t>3.2国内现状</w:t>
      </w:r>
    </w:p>
    <w:p w14:paraId="43476357">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中国微晶玻璃产业起步相对较晚，但发展迅猛，正从“跟跑”向“并跑”甚至部分领域“领跑”转变，呈现出强烈的市场驱动和应用创新特色。在国内，微晶玻璃的研究也相当活跃，中科院上海硅酸盐研究所、浙江大学、上海光学精密机械研究所、武汉理工大学、中国地质大学、清华大学、华南理工大学、哈尔滨工业大学、同济大学、北京理工大学、北京工业大学、天津大学等我国众多高校多年来一直从事或涉足微晶玻璃的基础理论、制备技术、结构与性能的研究。我国微晶生产攻关始于上个世纪七十年代，时任国务院副总理的余秋里亲任攻关组组长，先后在湖南湘潭、安徽滁州、江苏无锡、湖北丹江口建设了生产基地，经二十多年攻关，均因未能突破连续压延成形关键技术而停止。1991年，晶牛微晶集团股份有限公司开始研发微晶，1999年研发成功耐磨损、耐腐蚀（二耐）压延微晶；2005年研发成功耐磨损、耐腐蚀、耐冲击（三耐）微晶；2008年研发成功浮法低膨胀微晶；2016年研发成功耐磨损、耐腐蚀、耐高温、耐冲击（四耐）微晶。</w:t>
      </w:r>
    </w:p>
    <w:p w14:paraId="24BAD128">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在科技部发布的“十二五”国家科技计划材料领域2013年度备选项目征集指南中工业微晶玻璃被列入备选项目，并广泛应用于机械、电子、航天、化工仿佛、矿山、道路、建筑、医学等方面，其中建筑装饰材料是其重要的应用方面之一。如今，固废基（煤矸石、铜尾矿、粉煤灰）等制备建筑微晶玻璃技术成熟，煤矸石掺量可达45~55%，产品抗弯强度≥60MPa,放射性Ira≤0.4，满足A类装饰装修材料标准。</w:t>
      </w:r>
    </w:p>
    <w:p w14:paraId="05C5F53A">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全球微晶玻璃产业正处于一个技术持续创新、应用边界不断拓宽的黄金发展期。国外企业凭借其深厚的技术积淀，在超高端领域占据主导地位；而中国企业则依托庞大的内需市场和强大的应用创新能力，尤其在消费电子领域实现了快速崛起和局部领先。未来，中国微晶玻璃产业若要在全球竞争中占据更有利位置，必须在巩固现有市场优势的同时，坚定不移地加大基础研发投入，突破关键核心技术瓶颈，全面推动产业向高端化、多元化、绿色化迈进。</w:t>
      </w:r>
    </w:p>
    <w:p w14:paraId="2D6134C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黑体" w:hAnsi="Times New Roman" w:eastAsia="黑体" w:cs="Times New Roman"/>
          <w:b w:val="0"/>
          <w:bCs/>
          <w:w w:val="100"/>
          <w:sz w:val="32"/>
          <w:szCs w:val="32"/>
          <w:lang w:val="en-US" w:eastAsia="zh-CN" w:bidi="ar-SA"/>
        </w:rPr>
      </w:pPr>
      <w:r>
        <w:rPr>
          <w:rFonts w:hint="eastAsia" w:ascii="黑体" w:hAnsi="Times New Roman" w:eastAsia="黑体" w:cs="Times New Roman"/>
          <w:b w:val="0"/>
          <w:bCs/>
          <w:w w:val="100"/>
          <w:sz w:val="32"/>
          <w:szCs w:val="32"/>
          <w:lang w:val="en-US" w:eastAsia="zh-CN" w:bidi="ar-SA"/>
        </w:rPr>
        <w:t>3.3拟制定标准与国内外已有标准对比情况</w:t>
      </w:r>
    </w:p>
    <w:p w14:paraId="62CF7B83">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2014年修订的《环境保护法》第36条：国家促进低碳和循环发展，仅提出鼓励开展碳排放核算，未规定任何量化方法；国务院令第775号《碳排放权交易管理暂行条例》明确重点排放单位应制定并执行质量控制计划，名录覆盖火电、水泥、电解铝、钢铁、平板玻璃等；法律法规层面仅给出“应核算、应报告”义务，未提供边界、因子、数据等级等可执行条款，企业需下沉到技术标准层面寻找方法。</w:t>
      </w:r>
    </w:p>
    <w:p w14:paraId="7E6B10AF">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default"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国际标准化组织发布的《温室气体 产品碳足迹 量化要求和指南》ISO14067、国家标准《温室气体 产品碳足迹 量化要求和指南》GB/T24067-2024均为通用型标准，搭建了通用性产品量化框架，且存在共性局限，规定了基本规则但缺乏针对利废等特殊情况，导致企业在核算时无标可依，只能采用粗略的方法，使得不同产品企业的核算结果缺乏可比性，无法真实体现适用利废建材的减排效益；由生态环境部发布的《温室气体 产品碳足迹量化方法与要求 平板玻璃》（征求意见稿）指导和规范平板玻璃产品碳足迹量化工作，针对平板玻璃原片，与微晶玻璃存在性能指标差异，可参照应用。</w:t>
      </w:r>
    </w:p>
    <w:p w14:paraId="2C2EB2D4">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5" w:leftChars="0" w:hanging="425" w:firstLineChars="0"/>
        <w:jc w:val="left"/>
        <w:textAlignment w:val="auto"/>
        <w:rPr>
          <w:rFonts w:hint="default" w:ascii="黑体" w:hAnsi="Times New Roman" w:eastAsia="黑体" w:cs="Times New Roman"/>
          <w:b w:val="0"/>
          <w:bCs/>
          <w:w w:val="100"/>
          <w:sz w:val="32"/>
          <w:szCs w:val="32"/>
          <w:lang w:val="en-US" w:eastAsia="zh-CN" w:bidi="ar-SA"/>
        </w:rPr>
      </w:pPr>
      <w:r>
        <w:rPr>
          <w:rFonts w:hint="eastAsia" w:ascii="黑体" w:hAnsi="Times New Roman" w:eastAsia="黑体" w:cs="Times New Roman"/>
          <w:b w:val="0"/>
          <w:bCs/>
          <w:w w:val="100"/>
          <w:sz w:val="32"/>
          <w:szCs w:val="32"/>
          <w:lang w:val="en-US" w:eastAsia="zh-CN" w:bidi="ar-SA"/>
        </w:rPr>
        <w:t>标准制订的基本原则和技术路线</w:t>
      </w:r>
    </w:p>
    <w:p w14:paraId="2D1115B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黑体" w:hAnsi="Times New Roman" w:eastAsia="黑体" w:cs="Times New Roman"/>
          <w:b w:val="0"/>
          <w:bCs/>
          <w:w w:val="100"/>
          <w:sz w:val="32"/>
          <w:szCs w:val="32"/>
          <w:lang w:val="en-US" w:eastAsia="zh-CN" w:bidi="ar-SA"/>
        </w:rPr>
      </w:pPr>
      <w:r>
        <w:rPr>
          <w:rFonts w:hint="eastAsia" w:ascii="黑体" w:hAnsi="Times New Roman" w:eastAsia="黑体" w:cs="Times New Roman"/>
          <w:b w:val="0"/>
          <w:bCs/>
          <w:w w:val="100"/>
          <w:sz w:val="32"/>
          <w:szCs w:val="32"/>
          <w:lang w:val="en-US" w:eastAsia="zh-CN" w:bidi="ar-SA"/>
        </w:rPr>
        <w:t>4.1标准制订的基本原则</w:t>
      </w:r>
    </w:p>
    <w:p w14:paraId="24E25362">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本标准的制定严格遵循生命周期的核心理念，通过汇总微晶玻璃行业碳排放相关的政策、法规、技术指南和标准等资料，在充分考虑我国微晶玻璃产品行业现状的基础上，标准编制遵循以下原则:</w:t>
      </w:r>
    </w:p>
    <w:p w14:paraId="72CAFD07">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(1)注重标准的科学性。本标准与《温室气体 产品碳足迹量化要求和指南》(GB/T24067-2024)保持统一，考虑国内市场的特殊性和企业实际操作的能力。本标准的制订基于大量文献研究、实地调研和实践经验总结，充分调研、分析和评估相关材料、数据和信息，确保标准的科学性和可靠性。</w:t>
      </w:r>
    </w:p>
    <w:p w14:paraId="5B96D3D6">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(2)注重标准的系统性。本标准遵循ISO14067、PAS 2050、GB/T24067等产品碳足迹标准通则的框架，在功能单位、系统边界、取舍准则等重要内容方面充分考虑平板玻璃行业特性，增强了平板玻璃产品碳足迹量化的系统性和可行性。</w:t>
      </w:r>
    </w:p>
    <w:p w14:paraId="5105716E">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(3)注重标准的适用性。借鉴国内外生命周期相关标准，充分考虑微晶玻璃发展现状、产品生命周期特点，建立碳足迹核算评价方法，提供核算公式及各生命周期阶段数据收集清单，并对重点企业多种产品进行验证，确保标准适用性和实践可操作性。</w:t>
      </w:r>
    </w:p>
    <w:p w14:paraId="0F299AA2">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(4)注重标准的规范性。本标准按照《环境保护标准编制出版技术指南》(HJ565-2010)的要求和规定编写，确定标准的组成要素。</w:t>
      </w:r>
    </w:p>
    <w:p w14:paraId="5862C2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黑体" w:hAnsi="Times New Roman" w:eastAsia="黑体" w:cs="Times New Roman"/>
          <w:b w:val="0"/>
          <w:bCs/>
          <w:w w:val="100"/>
          <w:sz w:val="32"/>
          <w:szCs w:val="32"/>
          <w:lang w:val="en-US" w:eastAsia="zh-CN" w:bidi="ar-SA"/>
        </w:rPr>
      </w:pPr>
      <w:r>
        <w:rPr>
          <w:rFonts w:hint="eastAsia" w:ascii="黑体" w:hAnsi="Times New Roman" w:eastAsia="黑体" w:cs="Times New Roman"/>
          <w:b w:val="0"/>
          <w:bCs/>
          <w:w w:val="100"/>
          <w:sz w:val="32"/>
          <w:szCs w:val="32"/>
          <w:lang w:val="en-US" w:eastAsia="zh-CN" w:bidi="ar-SA"/>
        </w:rPr>
        <w:t>4.2标准制订的技术路线</w:t>
      </w:r>
    </w:p>
    <w:p w14:paraId="2DE22865">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default" w:ascii="宋体" w:hAnsi="宋体" w:eastAsia="宋体" w:cs="宋体"/>
          <w:kern w:val="0"/>
          <w:sz w:val="28"/>
          <w:szCs w:val="28"/>
          <w:lang w:val="en-US" w:eastAsia="zh-CN" w:bidi="ar-SA"/>
        </w:rPr>
      </w:pPr>
      <w:r>
        <w:rPr>
          <w:rFonts w:hint="default" w:ascii="宋体" w:hAnsi="宋体" w:eastAsia="宋体" w:cs="宋体"/>
          <w:kern w:val="0"/>
          <w:sz w:val="28"/>
          <w:szCs w:val="28"/>
          <w:lang w:val="en-US" w:eastAsia="zh-CN" w:bidi="ar-SA"/>
        </w:rPr>
        <w:t>本标准编制采用如下图4-1所示技术路线。通过国内外相关文献和标准的调研以及行业企业交流等，初步形成标准修订原则和框架结构，确定标准主要技术内容，包括碳足迹量化核算的功能单位、系统边界、核算方法、数据质量评估以及碳足迹缺省因子等，编制形成标准草案，收集企业活动水平数据并根据本标准进行案例试算，根据试算结果，优化完善标准草案，形成标准征求意见稿和编制说明。最后公开征求社会意见之后，修改完善标准文本和编制说明，形成标准送审稿和报批稿。</w:t>
      </w:r>
    </w:p>
    <w:p w14:paraId="65BEB00B">
      <w:pPr>
        <w:pStyle w:val="9"/>
        <w:keepNext w:val="0"/>
        <w:keepLines w:val="0"/>
        <w:pageBreakBefore w:val="0"/>
        <w:widowControl/>
        <w:kinsoku/>
        <w:wordWrap/>
        <w:overflowPunct/>
        <w:topLinePunct w:val="0"/>
        <w:autoSpaceDE/>
        <w:autoSpaceDN/>
        <w:bidi w:val="0"/>
        <w:adjustRightInd/>
        <w:snapToGrid/>
        <w:spacing w:before="0" w:after="0" w:line="360" w:lineRule="auto"/>
        <w:textAlignment w:val="auto"/>
        <w:rPr>
          <w:rFonts w:hint="default" w:ascii="宋体" w:hAnsi="宋体" w:eastAsia="宋体" w:cs="宋体"/>
          <w:kern w:val="0"/>
          <w:sz w:val="28"/>
          <w:szCs w:val="28"/>
          <w:lang w:val="en-US" w:eastAsia="zh-CN" w:bidi="ar-SA"/>
        </w:rPr>
      </w:pPr>
      <w:r>
        <w:rPr>
          <w:rFonts w:hint="default" w:ascii="宋体" w:hAnsi="宋体" w:eastAsia="宋体" w:cs="宋体"/>
          <w:kern w:val="0"/>
          <w:sz w:val="28"/>
          <w:szCs w:val="28"/>
          <w:lang w:val="en-US" w:eastAsia="zh-CN" w:bidi="ar-SA"/>
        </w:rPr>
        <w:drawing>
          <wp:inline distT="0" distB="0" distL="114300" distR="114300">
            <wp:extent cx="5266690" cy="2962910"/>
            <wp:effectExtent l="0" t="0" r="10160" b="8890"/>
            <wp:docPr id="1" name="图片 1" descr="编制说明技术路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编制说明技术路线"/>
                    <pic:cNvPicPr>
                      <a:picLocks noChangeAspect="1"/>
                    </pic:cNvPicPr>
                  </pic:nvPicPr>
                  <pic:blipFill>
                    <a:blip r:embed="rId4"/>
                    <a:stretch>
                      <a:fillRect/>
                    </a:stretch>
                  </pic:blipFill>
                  <pic:spPr>
                    <a:xfrm>
                      <a:off x="0" y="0"/>
                      <a:ext cx="5266690" cy="2962910"/>
                    </a:xfrm>
                    <a:prstGeom prst="rect">
                      <a:avLst/>
                    </a:prstGeom>
                  </pic:spPr>
                </pic:pic>
              </a:graphicData>
            </a:graphic>
          </wp:inline>
        </w:drawing>
      </w:r>
    </w:p>
    <w:p w14:paraId="4545A803">
      <w:pPr>
        <w:pStyle w:val="9"/>
        <w:keepNext w:val="0"/>
        <w:keepLines w:val="0"/>
        <w:pageBreakBefore w:val="0"/>
        <w:widowControl/>
        <w:kinsoku/>
        <w:wordWrap/>
        <w:overflowPunct/>
        <w:topLinePunct w:val="0"/>
        <w:autoSpaceDE/>
        <w:autoSpaceDN/>
        <w:bidi w:val="0"/>
        <w:adjustRightInd/>
        <w:snapToGrid/>
        <w:spacing w:before="0" w:after="0" w:line="360" w:lineRule="auto"/>
        <w:jc w:val="center"/>
        <w:textAlignment w:val="auto"/>
        <w:rPr>
          <w:rFonts w:hint="default"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图4.1 标注制定技术路线</w:t>
      </w:r>
    </w:p>
    <w:p w14:paraId="681A0BF3">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5" w:leftChars="0" w:hanging="425" w:firstLineChars="0"/>
        <w:jc w:val="left"/>
        <w:textAlignment w:val="auto"/>
        <w:rPr>
          <w:rFonts w:hint="default" w:ascii="黑体" w:hAnsi="Times New Roman" w:eastAsia="黑体" w:cs="Times New Roman"/>
          <w:b w:val="0"/>
          <w:bCs/>
          <w:w w:val="100"/>
          <w:sz w:val="32"/>
          <w:szCs w:val="32"/>
          <w:lang w:val="en-US" w:eastAsia="zh-CN" w:bidi="ar-SA"/>
        </w:rPr>
      </w:pPr>
      <w:r>
        <w:rPr>
          <w:rFonts w:hint="eastAsia" w:ascii="黑体" w:hAnsi="Times New Roman" w:eastAsia="黑体" w:cs="Times New Roman"/>
          <w:b w:val="0"/>
          <w:bCs/>
          <w:w w:val="100"/>
          <w:sz w:val="32"/>
          <w:szCs w:val="32"/>
          <w:lang w:val="en-US" w:eastAsia="zh-CN" w:bidi="ar-SA"/>
        </w:rPr>
        <w:t>标准主要技术内容</w:t>
      </w:r>
    </w:p>
    <w:p w14:paraId="4EC65FA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黑体" w:hAnsi="Times New Roman" w:eastAsia="黑体" w:cs="Times New Roman"/>
          <w:b w:val="0"/>
          <w:bCs/>
          <w:w w:val="100"/>
          <w:sz w:val="32"/>
          <w:szCs w:val="32"/>
          <w:lang w:val="en-US" w:eastAsia="zh-CN" w:bidi="ar-SA"/>
        </w:rPr>
      </w:pPr>
      <w:r>
        <w:rPr>
          <w:rFonts w:hint="eastAsia" w:ascii="黑体" w:hAnsi="Times New Roman" w:eastAsia="黑体" w:cs="Times New Roman"/>
          <w:b w:val="0"/>
          <w:bCs/>
          <w:w w:val="100"/>
          <w:sz w:val="32"/>
          <w:szCs w:val="32"/>
          <w:lang w:val="en-US" w:eastAsia="zh-CN" w:bidi="ar-SA"/>
        </w:rPr>
        <w:t>5.1标准适用范围</w:t>
      </w:r>
    </w:p>
    <w:p w14:paraId="54A1AE13">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default" w:ascii="宋体" w:hAnsi="宋体" w:eastAsia="宋体" w:cs="宋体"/>
          <w:kern w:val="0"/>
          <w:sz w:val="28"/>
          <w:szCs w:val="28"/>
          <w:lang w:val="en-US" w:eastAsia="zh-CN" w:bidi="ar-SA"/>
        </w:rPr>
      </w:pPr>
      <w:r>
        <w:rPr>
          <w:rFonts w:hint="default" w:ascii="宋体" w:hAnsi="宋体" w:eastAsia="宋体" w:cs="宋体"/>
          <w:kern w:val="0"/>
          <w:sz w:val="28"/>
          <w:szCs w:val="28"/>
          <w:lang w:val="en-US" w:eastAsia="zh-CN" w:bidi="ar-SA"/>
        </w:rPr>
        <w:t>本标准规定了</w:t>
      </w:r>
      <w:r>
        <w:rPr>
          <w:rFonts w:hint="eastAsia" w:ascii="宋体" w:hAnsi="宋体" w:eastAsia="宋体" w:cs="宋体"/>
          <w:kern w:val="0"/>
          <w:sz w:val="28"/>
          <w:szCs w:val="28"/>
          <w:lang w:val="en-US" w:eastAsia="zh-CN" w:bidi="ar-SA"/>
        </w:rPr>
        <w:t>煤矸石制微晶玻璃</w:t>
      </w:r>
      <w:r>
        <w:rPr>
          <w:rFonts w:hint="default" w:ascii="宋体" w:hAnsi="宋体" w:eastAsia="宋体" w:cs="宋体"/>
          <w:kern w:val="0"/>
          <w:sz w:val="28"/>
          <w:szCs w:val="28"/>
          <w:lang w:val="en-US" w:eastAsia="zh-CN" w:bidi="ar-SA"/>
        </w:rPr>
        <w:t>产品碳足迹的评价原则、工作流程、核算方法、报告内容以及核查要求等内容。
</w:t>
      </w:r>
    </w:p>
    <w:p w14:paraId="72B4755F">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黑体" w:hAnsi="Times New Roman" w:eastAsia="黑体" w:cs="Times New Roman"/>
          <w:b w:val="0"/>
          <w:bCs/>
          <w:w w:val="100"/>
          <w:sz w:val="32"/>
          <w:szCs w:val="32"/>
          <w:lang w:val="en-US" w:eastAsia="zh-CN" w:bidi="ar-SA"/>
        </w:rPr>
      </w:pPr>
      <w:r>
        <w:rPr>
          <w:rFonts w:hint="default" w:ascii="宋体" w:hAnsi="宋体" w:eastAsia="宋体" w:cs="宋体"/>
          <w:kern w:val="0"/>
          <w:sz w:val="28"/>
          <w:szCs w:val="28"/>
          <w:lang w:val="en-US" w:eastAsia="zh-CN" w:bidi="ar-SA"/>
        </w:rPr>
        <w:t>本标准适用于</w:t>
      </w:r>
      <w:r>
        <w:rPr>
          <w:rFonts w:hint="eastAsia" w:ascii="宋体" w:hAnsi="宋体" w:eastAsia="宋体" w:cs="宋体"/>
          <w:kern w:val="0"/>
          <w:sz w:val="28"/>
          <w:szCs w:val="28"/>
          <w:lang w:val="en-US" w:eastAsia="zh-CN" w:bidi="ar-SA"/>
        </w:rPr>
        <w:t>煤矸石制微晶玻璃</w:t>
      </w:r>
      <w:r>
        <w:rPr>
          <w:rFonts w:hint="default" w:ascii="宋体" w:hAnsi="宋体" w:eastAsia="宋体" w:cs="宋体"/>
          <w:kern w:val="0"/>
          <w:sz w:val="28"/>
          <w:szCs w:val="28"/>
          <w:lang w:val="en-US" w:eastAsia="zh-CN" w:bidi="ar-SA"/>
        </w:rPr>
        <w:t>产品的碳足迹量化和报告，用于指导</w:t>
      </w:r>
      <w:r>
        <w:rPr>
          <w:rFonts w:hint="eastAsia" w:ascii="宋体" w:hAnsi="宋体" w:eastAsia="宋体" w:cs="宋体"/>
          <w:kern w:val="0"/>
          <w:sz w:val="28"/>
          <w:szCs w:val="28"/>
          <w:lang w:val="en-US" w:eastAsia="zh-CN" w:bidi="ar-SA"/>
        </w:rPr>
        <w:t>煤矸石制微晶玻璃</w:t>
      </w:r>
      <w:r>
        <w:rPr>
          <w:rFonts w:hint="default" w:ascii="宋体" w:hAnsi="宋体" w:eastAsia="宋体" w:cs="宋体"/>
          <w:kern w:val="0"/>
          <w:sz w:val="28"/>
          <w:szCs w:val="28"/>
          <w:lang w:val="en-US" w:eastAsia="zh-CN" w:bidi="ar-SA"/>
        </w:rPr>
        <w:t>产品碳足迹的核算、评价、核查等技术规范的编制工作，其结果可作为不同应用场景下，评估该产品对气候变化影响程度的依据。</w:t>
      </w:r>
    </w:p>
    <w:p w14:paraId="5B55100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黑体" w:hAnsi="Times New Roman" w:eastAsia="黑体" w:cs="Times New Roman"/>
          <w:b w:val="0"/>
          <w:bCs/>
          <w:w w:val="100"/>
          <w:sz w:val="32"/>
          <w:szCs w:val="32"/>
          <w:lang w:val="en-US" w:eastAsia="zh-CN" w:bidi="ar-SA"/>
        </w:rPr>
      </w:pPr>
      <w:r>
        <w:rPr>
          <w:rFonts w:hint="eastAsia" w:ascii="黑体" w:hAnsi="Times New Roman" w:eastAsia="黑体" w:cs="Times New Roman"/>
          <w:b w:val="0"/>
          <w:bCs/>
          <w:w w:val="100"/>
          <w:sz w:val="32"/>
          <w:szCs w:val="32"/>
          <w:lang w:val="en-US" w:eastAsia="zh-CN" w:bidi="ar-SA"/>
        </w:rPr>
        <w:t>5.2标准结构框架</w:t>
      </w:r>
    </w:p>
    <w:p w14:paraId="51C223DC">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本标准分为正文和附录两部分。正文包括适用范围、规范性引用文件、术语和定义、基本原则、量化目的和范围、数据和数据质量、生命周期清单分析、影响评价、结果解释等10个章节。附录对数据收集清单、相关参数、数据质量评价方法、温室气体全球变暖潜势、产品碳足迹报告模板进行了规范和说明。</w:t>
      </w:r>
    </w:p>
    <w:p w14:paraId="4255E451">
      <w:pPr>
        <w:pStyle w:val="9"/>
        <w:keepNext w:val="0"/>
        <w:keepLines w:val="0"/>
        <w:pageBreakBefore w:val="0"/>
        <w:widowControl/>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量化目的和范围、清单分析、影响评价为标准的核心内容。其中量化目的和范围明确了本标准制定的目的和量化范围，包括产品范围、时间范围、功能单位(1t微晶玻璃)和系统边界(摇篮到坟墓)；清单分析定义了数据收集类型、数据质量要求(初级数据质量要求和次级数据质量要求)、数据选择要求(活动水平数据选择和碳足迹因子选择)以及数据审定要求；影响评价提出了微晶玻璃产品碳足迹核算公式，包括全生命周期各阶段核算公式。</w:t>
      </w:r>
    </w:p>
    <w:p w14:paraId="4DD031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黑体" w:hAnsi="Times New Roman" w:eastAsia="黑体" w:cs="Times New Roman"/>
          <w:b w:val="0"/>
          <w:bCs/>
          <w:w w:val="100"/>
          <w:sz w:val="32"/>
          <w:szCs w:val="32"/>
          <w:lang w:val="en-US" w:eastAsia="zh-CN" w:bidi="ar-SA"/>
        </w:rPr>
      </w:pPr>
      <w:r>
        <w:rPr>
          <w:rFonts w:hint="eastAsia" w:ascii="黑体" w:hAnsi="Times New Roman" w:eastAsia="黑体" w:cs="Times New Roman"/>
          <w:b w:val="0"/>
          <w:bCs/>
          <w:w w:val="100"/>
          <w:sz w:val="32"/>
          <w:szCs w:val="32"/>
          <w:lang w:val="en-US" w:eastAsia="zh-CN" w:bidi="ar-SA"/>
        </w:rPr>
        <w:t>5.3术语和定义</w:t>
      </w:r>
    </w:p>
    <w:p w14:paraId="1C79823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jc w:val="left"/>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本标准术语和定义共有12个，包含煤矸石、煤矸石制微晶玻璃、产品碳足迹、产品部分碳足迹、温室气体、二氧化碳当量、系统边界、单元过程、生命周期清单分析、初级数据、现场数据、次级数据。</w:t>
      </w:r>
    </w:p>
    <w:p w14:paraId="6D663F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黑体" w:hAnsi="Times New Roman" w:eastAsia="黑体" w:cs="Times New Roman"/>
          <w:b w:val="0"/>
          <w:bCs/>
          <w:w w:val="100"/>
          <w:sz w:val="32"/>
          <w:szCs w:val="32"/>
          <w:lang w:val="en-US" w:eastAsia="zh-CN" w:bidi="ar-SA"/>
        </w:rPr>
      </w:pPr>
      <w:r>
        <w:rPr>
          <w:rFonts w:hint="eastAsia" w:ascii="黑体" w:hAnsi="Times New Roman" w:eastAsia="黑体" w:cs="Times New Roman"/>
          <w:b w:val="0"/>
          <w:bCs/>
          <w:w w:val="100"/>
          <w:sz w:val="32"/>
          <w:szCs w:val="32"/>
          <w:lang w:val="en-US" w:eastAsia="zh-CN" w:bidi="ar-SA"/>
        </w:rPr>
        <w:t>5.4标准主要技术内容确定的依据</w:t>
      </w:r>
    </w:p>
    <w:p w14:paraId="1C0C788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黑体" w:hAnsi="Times New Roman" w:eastAsia="黑体" w:cs="Times New Roman"/>
          <w:b w:val="0"/>
          <w:bCs/>
          <w:w w:val="100"/>
          <w:sz w:val="32"/>
          <w:szCs w:val="32"/>
          <w:lang w:val="en-US" w:eastAsia="zh-CN" w:bidi="ar-SA"/>
        </w:rPr>
      </w:pPr>
      <w:r>
        <w:rPr>
          <w:rFonts w:hint="eastAsia" w:ascii="黑体" w:hAnsi="Times New Roman" w:eastAsia="黑体" w:cs="Times New Roman"/>
          <w:b w:val="0"/>
          <w:bCs/>
          <w:w w:val="100"/>
          <w:sz w:val="32"/>
          <w:szCs w:val="32"/>
          <w:lang w:val="en-US" w:eastAsia="zh-CN" w:bidi="ar-SA"/>
        </w:rPr>
        <w:t>5.4.1功能单位</w:t>
      </w:r>
    </w:p>
    <w:p w14:paraId="18B3E5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jc w:val="left"/>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本标准在《温室气体 产品碳足迹量化 要求和指南》（GB/T 24067-2024）的基础上细化平板玻璃产品碳足迹量化方法。</w:t>
      </w:r>
    </w:p>
    <w:p w14:paraId="5517483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黑体" w:hAnsi="Times New Roman" w:eastAsia="黑体" w:cs="Times New Roman"/>
          <w:b w:val="0"/>
          <w:bCs/>
          <w:w w:val="100"/>
          <w:sz w:val="32"/>
          <w:szCs w:val="32"/>
          <w:lang w:val="en-US" w:eastAsia="zh-CN" w:bidi="ar-SA"/>
        </w:rPr>
      </w:pPr>
      <w:r>
        <w:rPr>
          <w:rFonts w:hint="eastAsia" w:ascii="黑体" w:hAnsi="Times New Roman" w:eastAsia="黑体" w:cs="Times New Roman"/>
          <w:b w:val="0"/>
          <w:bCs/>
          <w:w w:val="100"/>
          <w:sz w:val="32"/>
          <w:szCs w:val="32"/>
          <w:lang w:val="en-US" w:eastAsia="zh-CN" w:bidi="ar-SA"/>
        </w:rPr>
        <w:t>5.4.2系统边界</w:t>
      </w:r>
    </w:p>
    <w:p w14:paraId="20776FA4">
      <w:pPr>
        <w:pStyle w:val="9"/>
        <w:keepNext w:val="0"/>
        <w:keepLines w:val="0"/>
        <w:pageBreakBefore w:val="0"/>
        <w:widowControl/>
        <w:kinsoku/>
        <w:wordWrap/>
        <w:overflowPunct/>
        <w:topLinePunct w:val="0"/>
        <w:autoSpaceDE/>
        <w:autoSpaceDN/>
        <w:bidi w:val="0"/>
        <w:adjustRightInd/>
        <w:snapToGrid/>
        <w:spacing w:before="0" w:after="0" w:line="360" w:lineRule="auto"/>
        <w:ind w:left="0" w:firstLine="560" w:firstLineChars="200"/>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本标准中煤矸石制微晶玻璃的系统边界设定如图5-1，应量化原材料与能源获取阶段和生产阶段(即图5-1中上</w:t>
      </w:r>
      <w:r>
        <w:rPr>
          <w:rFonts w:hint="default" w:ascii="宋体" w:hAnsi="宋体" w:eastAsia="宋体" w:cs="宋体"/>
          <w:kern w:val="0"/>
          <w:sz w:val="28"/>
          <w:szCs w:val="28"/>
          <w:lang w:val="en-US" w:eastAsia="zh-CN" w:bidi="ar-SA"/>
        </w:rPr>
        <w:t>游流</w:t>
      </w:r>
      <w:r>
        <w:rPr>
          <w:rFonts w:hint="eastAsia" w:ascii="宋体" w:hAnsi="宋体" w:eastAsia="宋体" w:cs="宋体"/>
          <w:kern w:val="0"/>
          <w:sz w:val="28"/>
          <w:szCs w:val="28"/>
          <w:lang w:val="en-US" w:eastAsia="zh-CN" w:bidi="ar-SA"/>
        </w:rPr>
        <w:t>程和核心过程)。</w:t>
      </w: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5F7F7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5" w:hRule="atLeast"/>
        </w:trPr>
        <w:tc>
          <w:tcPr>
            <w:tcW w:w="8522" w:type="dxa"/>
            <w:tcBorders>
              <w:tl2br w:val="nil"/>
              <w:tr2bl w:val="nil"/>
            </w:tcBorders>
          </w:tcPr>
          <w:p w14:paraId="7F63FF4B">
            <w:pPr>
              <w:pStyle w:val="9"/>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仿宋" w:hAnsi="仿宋" w:eastAsia="仿宋" w:cs="仿宋"/>
                <w:color w:val="auto"/>
                <w:sz w:val="21"/>
                <w:szCs w:val="21"/>
                <w:vertAlign w:val="baseline"/>
                <w:lang w:val="en-US" w:eastAsia="zh-CN"/>
              </w:rPr>
            </w:pPr>
            <w:r>
              <w:rPr>
                <w:rFonts w:hint="eastAsia" w:ascii="仿宋" w:hAnsi="仿宋" w:eastAsia="仿宋" w:cs="仿宋"/>
                <w:color w:val="auto"/>
                <w:sz w:val="21"/>
                <w:szCs w:val="21"/>
                <w:vertAlign w:val="baseline"/>
                <w:lang w:val="en-US" w:eastAsia="zh-CN"/>
              </w:rPr>
              <w:drawing>
                <wp:anchor distT="0" distB="0" distL="114300" distR="114300" simplePos="0" relativeHeight="251659264" behindDoc="0" locked="0" layoutInCell="1" allowOverlap="1">
                  <wp:simplePos x="0" y="0"/>
                  <wp:positionH relativeFrom="column">
                    <wp:posOffset>85090</wp:posOffset>
                  </wp:positionH>
                  <wp:positionV relativeFrom="paragraph">
                    <wp:posOffset>121920</wp:posOffset>
                  </wp:positionV>
                  <wp:extent cx="5320665" cy="3018790"/>
                  <wp:effectExtent l="0" t="0" r="13335" b="10160"/>
                  <wp:wrapTopAndBottom/>
                  <wp:docPr id="5" name="图片 5" descr="图片制作(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制作(1)"/>
                          <pic:cNvPicPr>
                            <a:picLocks noChangeAspect="1"/>
                          </pic:cNvPicPr>
                        </pic:nvPicPr>
                        <pic:blipFill>
                          <a:blip r:embed="rId5"/>
                          <a:srcRect l="8886" t="10040" r="9065" b="7222"/>
                          <a:stretch>
                            <a:fillRect/>
                          </a:stretch>
                        </pic:blipFill>
                        <pic:spPr>
                          <a:xfrm>
                            <a:off x="0" y="0"/>
                            <a:ext cx="5320665" cy="3018790"/>
                          </a:xfrm>
                          <a:prstGeom prst="rect">
                            <a:avLst/>
                          </a:prstGeom>
                        </pic:spPr>
                      </pic:pic>
                    </a:graphicData>
                  </a:graphic>
                </wp:anchor>
              </w:drawing>
            </w:r>
          </w:p>
        </w:tc>
      </w:tr>
      <w:tr w14:paraId="29B4A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Borders>
              <w:tl2br w:val="nil"/>
              <w:tr2bl w:val="nil"/>
            </w:tcBorders>
          </w:tcPr>
          <w:p w14:paraId="3C534B73">
            <w:pPr>
              <w:pStyle w:val="9"/>
              <w:keepNext w:val="0"/>
              <w:keepLines w:val="0"/>
              <w:pageBreakBefore w:val="0"/>
              <w:widowControl/>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color w:val="auto"/>
                <w:sz w:val="21"/>
                <w:szCs w:val="21"/>
                <w:vertAlign w:val="baseline"/>
                <w:lang w:val="en-US" w:eastAsia="zh-CN"/>
              </w:rPr>
            </w:pPr>
            <w:r>
              <w:rPr>
                <w:rFonts w:hint="eastAsia" w:ascii="宋体" w:hAnsi="宋体" w:eastAsia="宋体" w:cs="宋体"/>
                <w:kern w:val="0"/>
                <w:sz w:val="28"/>
                <w:szCs w:val="28"/>
                <w:lang w:val="en-US" w:eastAsia="zh-CN" w:bidi="ar-SA"/>
              </w:rPr>
              <w:t>图5-1 煤矸石制微晶玻璃的系统边界</w:t>
            </w:r>
          </w:p>
        </w:tc>
      </w:tr>
    </w:tbl>
    <w:p w14:paraId="736CAA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黑体" w:hAnsi="Times New Roman" w:eastAsia="黑体" w:cs="Times New Roman"/>
          <w:b w:val="0"/>
          <w:bCs/>
          <w:w w:val="100"/>
          <w:sz w:val="32"/>
          <w:szCs w:val="32"/>
          <w:lang w:val="en-US" w:eastAsia="zh-CN" w:bidi="ar-SA"/>
        </w:rPr>
      </w:pPr>
      <w:r>
        <w:rPr>
          <w:rFonts w:hint="eastAsia" w:ascii="黑体" w:hAnsi="Times New Roman" w:eastAsia="黑体" w:cs="Times New Roman"/>
          <w:b w:val="0"/>
          <w:bCs/>
          <w:w w:val="100"/>
          <w:sz w:val="32"/>
          <w:szCs w:val="32"/>
          <w:lang w:val="en-US" w:eastAsia="zh-CN" w:bidi="ar-SA"/>
        </w:rPr>
        <w:t>5.4.3取舍准则</w:t>
      </w:r>
    </w:p>
    <w:p w14:paraId="4DA0430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jc w:val="left"/>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采用的取舍规则以各项原材料投入占产品重量或过程总投入的重量比为依据。具体规则如下：</w:t>
      </w:r>
    </w:p>
    <w:p w14:paraId="5AEE68F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jc w:val="left"/>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普通物料重量＜1%产品重量时，以及含稀贵或高纯成分的物料重量＜0.1%产品重量时，可忽略该物料的上游生产数据；总共忽略的物料重量不超过 5%；</w:t>
      </w:r>
    </w:p>
    <w:p w14:paraId="23A8D68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jc w:val="left"/>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低价值废物作为原料，如粉煤灰、矿渣、秸秆、生活垃圾等，可忽略其上游生产数据；</w:t>
      </w:r>
    </w:p>
    <w:p w14:paraId="1AC23B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jc w:val="left"/>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大多数情况下，生产设备、厂房、生活设施等可以忽略；</w:t>
      </w:r>
    </w:p>
    <w:p w14:paraId="31A38A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jc w:val="left"/>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在选定环境影响类型范围内的已知排放数据不应忽略。</w:t>
      </w:r>
    </w:p>
    <w:p w14:paraId="57FFAB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黑体" w:hAnsi="Times New Roman" w:eastAsia="黑体" w:cs="Times New Roman"/>
          <w:b w:val="0"/>
          <w:bCs/>
          <w:w w:val="100"/>
          <w:sz w:val="32"/>
          <w:szCs w:val="32"/>
          <w:lang w:val="en-US" w:eastAsia="zh-CN" w:bidi="ar-SA"/>
        </w:rPr>
      </w:pPr>
      <w:r>
        <w:rPr>
          <w:rFonts w:hint="eastAsia" w:ascii="黑体" w:hAnsi="Times New Roman" w:eastAsia="黑体" w:cs="Times New Roman"/>
          <w:b w:val="0"/>
          <w:bCs/>
          <w:w w:val="100"/>
          <w:sz w:val="32"/>
          <w:szCs w:val="32"/>
          <w:lang w:val="en-US" w:eastAsia="zh-CN" w:bidi="ar-SA"/>
        </w:rPr>
        <w:t>5.4.4数据收集要求</w:t>
      </w:r>
    </w:p>
    <w:p w14:paraId="2D0027C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jc w:val="left"/>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对于系统边界内的所有单元过程,应收集纳入生命周期清单中的定性和定量数据。用来量化单元过程的输入和输出数据是通过测量、计算或估算得到。对研究结论有显著影响的单元过程应在产品碳足迹研究报告中记录。</w:t>
      </w:r>
    </w:p>
    <w:p w14:paraId="6E4C3AE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jc w:val="left"/>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对于可能对研究结论有显著影响的数据,应说明相关数据的收集过程、收集时间以及数据质量的详细信息。如果这些数据不符合数据质量的要求,也应做出说明。</w:t>
      </w:r>
    </w:p>
    <w:p w14:paraId="3C5EC12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jc w:val="left"/>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当数据收集可能分散于多个地址和发布的参考文献时,该产品系统宜使用一个有代表性和协调一致的数据集。</w:t>
      </w:r>
    </w:p>
    <w:p w14:paraId="4519D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黑体" w:hAnsi="Times New Roman" w:eastAsia="黑体" w:cs="Times New Roman"/>
          <w:b w:val="0"/>
          <w:bCs/>
          <w:w w:val="100"/>
          <w:sz w:val="32"/>
          <w:szCs w:val="32"/>
          <w:lang w:val="en-US" w:eastAsia="zh-CN" w:bidi="ar-SA"/>
        </w:rPr>
      </w:pPr>
      <w:r>
        <w:rPr>
          <w:rFonts w:hint="eastAsia" w:ascii="黑体" w:hAnsi="Times New Roman" w:eastAsia="黑体" w:cs="Times New Roman"/>
          <w:b w:val="0"/>
          <w:bCs/>
          <w:w w:val="100"/>
          <w:sz w:val="32"/>
          <w:szCs w:val="32"/>
          <w:lang w:val="en-US" w:eastAsia="zh-CN" w:bidi="ar-SA"/>
        </w:rPr>
        <w:t>5.4.5数据质量评价</w:t>
      </w:r>
    </w:p>
    <w:p w14:paraId="4B5675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jc w:val="left"/>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开展产品碳足迹研究的组织宜建立数据管理系统,保留相关文件和记录,进行数据质量评价,并持续提高数据质量。电解铝产品碳足迹量化数据质量评价方法见表4,对质量较差的数据应进行敏感性分析。</w:t>
      </w:r>
    </w:p>
    <w:p w14:paraId="083DE4D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表5-1 数据质量评价方法</w:t>
      </w:r>
    </w:p>
    <w:tbl>
      <w:tblPr>
        <w:tblStyle w:val="6"/>
        <w:tblW w:w="8518" w:type="dxa"/>
        <w:jc w:val="center"/>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3"/>
        <w:gridCol w:w="1394"/>
        <w:gridCol w:w="1056"/>
        <w:gridCol w:w="1337"/>
        <w:gridCol w:w="2003"/>
        <w:gridCol w:w="1825"/>
      </w:tblGrid>
      <w:tr w14:paraId="579B0C40">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jc w:val="center"/>
        </w:trPr>
        <w:tc>
          <w:tcPr>
            <w:tcW w:w="903" w:type="dxa"/>
            <w:tcBorders>
              <w:bottom w:val="single" w:color="000000" w:sz="4" w:space="0"/>
            </w:tcBorders>
            <w:vAlign w:val="center"/>
          </w:tcPr>
          <w:p w14:paraId="7CFFCA5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0" w:firstLineChars="0"/>
              <w:jc w:val="left"/>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评级</w:t>
            </w:r>
          </w:p>
        </w:tc>
        <w:tc>
          <w:tcPr>
            <w:tcW w:w="1394" w:type="dxa"/>
            <w:tcBorders>
              <w:bottom w:val="single" w:color="000000" w:sz="4" w:space="0"/>
            </w:tcBorders>
            <w:vAlign w:val="center"/>
          </w:tcPr>
          <w:p w14:paraId="66499C0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0" w:firstLineChars="0"/>
              <w:jc w:val="left"/>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技术</w:t>
            </w:r>
          </w:p>
        </w:tc>
        <w:tc>
          <w:tcPr>
            <w:tcW w:w="1056" w:type="dxa"/>
            <w:tcBorders>
              <w:bottom w:val="single" w:color="000000" w:sz="4" w:space="0"/>
            </w:tcBorders>
            <w:vAlign w:val="center"/>
          </w:tcPr>
          <w:p w14:paraId="5FE9286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时间</w:t>
            </w:r>
          </w:p>
        </w:tc>
        <w:tc>
          <w:tcPr>
            <w:tcW w:w="1337" w:type="dxa"/>
            <w:tcBorders>
              <w:bottom w:val="single" w:color="000000" w:sz="4" w:space="0"/>
            </w:tcBorders>
            <w:vAlign w:val="center"/>
          </w:tcPr>
          <w:p w14:paraId="645FA80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地域</w:t>
            </w:r>
          </w:p>
        </w:tc>
        <w:tc>
          <w:tcPr>
            <w:tcW w:w="2003" w:type="dxa"/>
            <w:tcBorders>
              <w:bottom w:val="single" w:color="000000" w:sz="4" w:space="0"/>
            </w:tcBorders>
            <w:vAlign w:val="center"/>
          </w:tcPr>
          <w:p w14:paraId="502FD92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0" w:firstLineChars="0"/>
              <w:jc w:val="left"/>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可靠性</w:t>
            </w:r>
          </w:p>
        </w:tc>
        <w:tc>
          <w:tcPr>
            <w:tcW w:w="1825" w:type="dxa"/>
            <w:tcBorders>
              <w:bottom w:val="single" w:color="000000" w:sz="4" w:space="0"/>
            </w:tcBorders>
            <w:vAlign w:val="center"/>
          </w:tcPr>
          <w:p w14:paraId="73531A2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完整性</w:t>
            </w:r>
          </w:p>
        </w:tc>
      </w:tr>
      <w:tr w14:paraId="38EDEF53">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jc w:val="center"/>
        </w:trPr>
        <w:tc>
          <w:tcPr>
            <w:tcW w:w="903" w:type="dxa"/>
            <w:tcBorders>
              <w:top w:val="single" w:color="000000" w:sz="4" w:space="0"/>
              <w:tl2br w:val="nil"/>
              <w:tr2bl w:val="nil"/>
            </w:tcBorders>
            <w:vAlign w:val="center"/>
          </w:tcPr>
          <w:p w14:paraId="744FB8C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优</w:t>
            </w:r>
          </w:p>
        </w:tc>
        <w:tc>
          <w:tcPr>
            <w:tcW w:w="1394" w:type="dxa"/>
            <w:tcBorders>
              <w:top w:val="single" w:color="000000" w:sz="4" w:space="0"/>
              <w:tl2br w:val="nil"/>
              <w:tr2bl w:val="nil"/>
            </w:tcBorders>
            <w:vAlign w:val="center"/>
          </w:tcPr>
          <w:p w14:paraId="2F1F6D1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相同技术数据</w:t>
            </w:r>
          </w:p>
        </w:tc>
        <w:tc>
          <w:tcPr>
            <w:tcW w:w="1056" w:type="dxa"/>
            <w:tcBorders>
              <w:top w:val="single" w:color="000000" w:sz="4" w:space="0"/>
              <w:tl2br w:val="nil"/>
              <w:tr2bl w:val="nil"/>
            </w:tcBorders>
            <w:vAlign w:val="center"/>
          </w:tcPr>
          <w:p w14:paraId="6753706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≤3a</w:t>
            </w:r>
          </w:p>
        </w:tc>
        <w:tc>
          <w:tcPr>
            <w:tcW w:w="1337" w:type="dxa"/>
            <w:tcBorders>
              <w:top w:val="single" w:color="000000" w:sz="4" w:space="0"/>
              <w:tl2br w:val="nil"/>
              <w:tr2bl w:val="nil"/>
            </w:tcBorders>
            <w:vAlign w:val="center"/>
          </w:tcPr>
          <w:p w14:paraId="1D2B7A8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同一地区</w:t>
            </w:r>
          </w:p>
        </w:tc>
        <w:tc>
          <w:tcPr>
            <w:tcW w:w="2003" w:type="dxa"/>
            <w:tcBorders>
              <w:top w:val="single" w:color="000000" w:sz="4" w:space="0"/>
              <w:tl2br w:val="nil"/>
              <w:tr2bl w:val="nil"/>
            </w:tcBorders>
            <w:vAlign w:val="center"/>
          </w:tcPr>
          <w:p w14:paraId="5713817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测量或经核查</w:t>
            </w:r>
          </w:p>
        </w:tc>
        <w:tc>
          <w:tcPr>
            <w:tcW w:w="1825" w:type="dxa"/>
            <w:tcBorders>
              <w:top w:val="single" w:color="000000" w:sz="4" w:space="0"/>
              <w:tl2br w:val="nil"/>
              <w:tr2bl w:val="nil"/>
            </w:tcBorders>
            <w:vAlign w:val="center"/>
          </w:tcPr>
          <w:p w14:paraId="1D9D664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数据基本完整</w:t>
            </w:r>
          </w:p>
        </w:tc>
      </w:tr>
      <w:tr w14:paraId="35E915E9">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jc w:val="center"/>
        </w:trPr>
        <w:tc>
          <w:tcPr>
            <w:tcW w:w="903" w:type="dxa"/>
            <w:tcBorders>
              <w:tl2br w:val="nil"/>
              <w:tr2bl w:val="nil"/>
            </w:tcBorders>
            <w:vAlign w:val="center"/>
          </w:tcPr>
          <w:p w14:paraId="564C4E1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良</w:t>
            </w:r>
          </w:p>
        </w:tc>
        <w:tc>
          <w:tcPr>
            <w:tcW w:w="1394" w:type="dxa"/>
            <w:tcBorders>
              <w:tl2br w:val="nil"/>
              <w:tr2bl w:val="nil"/>
            </w:tcBorders>
            <w:vAlign w:val="center"/>
          </w:tcPr>
          <w:p w14:paraId="3B03D72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0" w:firstLineChars="0"/>
              <w:jc w:val="left"/>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类似技术数据</w:t>
            </w:r>
          </w:p>
        </w:tc>
        <w:tc>
          <w:tcPr>
            <w:tcW w:w="1056" w:type="dxa"/>
            <w:tcBorders>
              <w:tl2br w:val="nil"/>
              <w:tr2bl w:val="nil"/>
            </w:tcBorders>
            <w:vAlign w:val="center"/>
          </w:tcPr>
          <w:p w14:paraId="4D8E027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0" w:firstLineChars="0"/>
              <w:jc w:val="left"/>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3a~5a</w:t>
            </w:r>
          </w:p>
        </w:tc>
        <w:tc>
          <w:tcPr>
            <w:tcW w:w="1337" w:type="dxa"/>
            <w:tcBorders>
              <w:tl2br w:val="nil"/>
              <w:tr2bl w:val="nil"/>
            </w:tcBorders>
            <w:vAlign w:val="center"/>
          </w:tcPr>
          <w:p w14:paraId="56C14FF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相似地区</w:t>
            </w:r>
          </w:p>
        </w:tc>
        <w:tc>
          <w:tcPr>
            <w:tcW w:w="2003" w:type="dxa"/>
            <w:tcBorders>
              <w:tl2br w:val="nil"/>
              <w:tr2bl w:val="nil"/>
            </w:tcBorders>
            <w:vAlign w:val="center"/>
          </w:tcPr>
          <w:p w14:paraId="1376A74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0" w:firstLineChars="0"/>
              <w:jc w:val="left"/>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部分测量或部分核查</w:t>
            </w:r>
          </w:p>
        </w:tc>
        <w:tc>
          <w:tcPr>
            <w:tcW w:w="1825" w:type="dxa"/>
            <w:tcBorders>
              <w:tl2br w:val="nil"/>
              <w:tr2bl w:val="nil"/>
            </w:tcBorders>
            <w:vAlign w:val="center"/>
          </w:tcPr>
          <w:p w14:paraId="0E3B949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数据完整性≥80%</w:t>
            </w:r>
          </w:p>
        </w:tc>
      </w:tr>
      <w:tr w14:paraId="58A93C72">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jc w:val="center"/>
        </w:trPr>
        <w:tc>
          <w:tcPr>
            <w:tcW w:w="903" w:type="dxa"/>
            <w:tcBorders>
              <w:tl2br w:val="nil"/>
              <w:tr2bl w:val="nil"/>
            </w:tcBorders>
            <w:vAlign w:val="center"/>
          </w:tcPr>
          <w:p w14:paraId="6F5622F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差</w:t>
            </w:r>
          </w:p>
        </w:tc>
        <w:tc>
          <w:tcPr>
            <w:tcW w:w="1394" w:type="dxa"/>
            <w:tcBorders>
              <w:tl2br w:val="nil"/>
              <w:tr2bl w:val="nil"/>
            </w:tcBorders>
            <w:vAlign w:val="center"/>
          </w:tcPr>
          <w:p w14:paraId="6AAA5F9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0" w:firstLineChars="0"/>
              <w:jc w:val="left"/>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不同技术数据</w:t>
            </w:r>
          </w:p>
        </w:tc>
        <w:tc>
          <w:tcPr>
            <w:tcW w:w="1056" w:type="dxa"/>
            <w:tcBorders>
              <w:tl2br w:val="nil"/>
              <w:tr2bl w:val="nil"/>
            </w:tcBorders>
            <w:vAlign w:val="center"/>
          </w:tcPr>
          <w:p w14:paraId="2252C1C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0" w:firstLineChars="0"/>
              <w:jc w:val="left"/>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5a~10a</w:t>
            </w:r>
          </w:p>
        </w:tc>
        <w:tc>
          <w:tcPr>
            <w:tcW w:w="1337" w:type="dxa"/>
            <w:tcBorders>
              <w:tl2br w:val="nil"/>
              <w:tr2bl w:val="nil"/>
            </w:tcBorders>
            <w:vAlign w:val="center"/>
          </w:tcPr>
          <w:p w14:paraId="175F754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不同地区</w:t>
            </w:r>
          </w:p>
        </w:tc>
        <w:tc>
          <w:tcPr>
            <w:tcW w:w="2003" w:type="dxa"/>
            <w:tcBorders>
              <w:tl2br w:val="nil"/>
              <w:tr2bl w:val="nil"/>
            </w:tcBorders>
            <w:vAlign w:val="center"/>
          </w:tcPr>
          <w:p w14:paraId="67D708B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次级数据估算值</w:t>
            </w:r>
          </w:p>
        </w:tc>
        <w:tc>
          <w:tcPr>
            <w:tcW w:w="1825" w:type="dxa"/>
            <w:tcBorders>
              <w:tl2br w:val="nil"/>
              <w:tr2bl w:val="nil"/>
            </w:tcBorders>
            <w:vAlign w:val="center"/>
          </w:tcPr>
          <w:p w14:paraId="5BAEEF1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0" w:firstLineChars="0"/>
              <w:jc w:val="left"/>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数据完整性≥50%</w:t>
            </w:r>
          </w:p>
        </w:tc>
      </w:tr>
    </w:tbl>
    <w:p w14:paraId="5E72CE14">
      <w:pPr>
        <w:pStyle w:val="2"/>
        <w:rPr>
          <w:rFonts w:hint="eastAsia"/>
          <w:lang w:val="en-US" w:eastAsia="zh-CN"/>
        </w:rPr>
      </w:pPr>
    </w:p>
    <w:p w14:paraId="290353B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黑体" w:hAnsi="Times New Roman" w:eastAsia="黑体" w:cs="Times New Roman"/>
          <w:b w:val="0"/>
          <w:bCs/>
          <w:w w:val="100"/>
          <w:sz w:val="32"/>
          <w:szCs w:val="32"/>
          <w:lang w:val="en-US" w:eastAsia="zh-CN" w:bidi="ar-SA"/>
        </w:rPr>
      </w:pPr>
      <w:r>
        <w:rPr>
          <w:rFonts w:hint="eastAsia" w:ascii="黑体" w:hAnsi="Times New Roman" w:eastAsia="黑体" w:cs="Times New Roman"/>
          <w:b w:val="0"/>
          <w:bCs/>
          <w:w w:val="100"/>
          <w:sz w:val="32"/>
          <w:szCs w:val="32"/>
          <w:lang w:val="en-US" w:eastAsia="zh-CN" w:bidi="ar-SA"/>
        </w:rPr>
        <w:t>5.4.6影响评价</w:t>
      </w:r>
    </w:p>
    <w:p w14:paraId="68D29C1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jc w:val="left"/>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煤矸石制微晶玻璃产品碳足迹计算包括原材料与能源获取阶段和生产阶段涉及的所有单元过程，每个阶段的产品碳足迹相加得到所评价生命周期的碳足迹。本标准分别给出了微晶玻璃产品生命周期不同阶段碳足迹量化方法。</w:t>
      </w:r>
    </w:p>
    <w:p w14:paraId="616C81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jc w:val="left"/>
        <w:textAlignment w:val="auto"/>
        <w:rPr>
          <w:rFonts w:hint="default"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本标准的单元过程如图5-2所示。</w:t>
      </w:r>
    </w:p>
    <w:p w14:paraId="699C3479">
      <w:pPr>
        <w:jc w:val="center"/>
        <w:rPr>
          <w:rFonts w:ascii="Times New Roman" w:hAnsi="Times New Roman" w:cs="Times New Roman"/>
          <w:color w:val="auto"/>
          <w:sz w:val="24"/>
          <w:szCs w:val="24"/>
        </w:rPr>
      </w:pPr>
      <w:r>
        <w:rPr>
          <w:rFonts w:ascii="Times New Roman" w:hAnsi="Times New Roman" w:cs="Times New Roman"/>
          <w:color w:val="auto"/>
          <w:sz w:val="24"/>
          <w:szCs w:val="24"/>
        </w:rPr>
        <w:drawing>
          <wp:inline distT="0" distB="0" distL="114300" distR="114300">
            <wp:extent cx="4159885" cy="3503930"/>
            <wp:effectExtent l="0" t="0" r="12065" b="1270"/>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r:embed="rId6"/>
                    <a:stretch>
                      <a:fillRect/>
                    </a:stretch>
                  </pic:blipFill>
                  <pic:spPr>
                    <a:xfrm>
                      <a:off x="0" y="0"/>
                      <a:ext cx="4159885" cy="3503930"/>
                    </a:xfrm>
                    <a:prstGeom prst="rect">
                      <a:avLst/>
                    </a:prstGeom>
                    <a:noFill/>
                    <a:ln>
                      <a:noFill/>
                    </a:ln>
                  </pic:spPr>
                </pic:pic>
              </a:graphicData>
            </a:graphic>
          </wp:inline>
        </w:drawing>
      </w:r>
    </w:p>
    <w:p w14:paraId="472D25F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图5-2煤矸石制微晶玻璃单元过程</w:t>
      </w:r>
    </w:p>
    <w:p w14:paraId="0B771B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jc w:val="left"/>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本标准的单元过程包含：</w:t>
      </w:r>
    </w:p>
    <w:p w14:paraId="0096835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jc w:val="left"/>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（1）电力、柴油能源的生产过程，包括能源开采、输送及泄露过程；</w:t>
      </w:r>
    </w:p>
    <w:p w14:paraId="7B60A52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jc w:val="left"/>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（2）煤矸石、石英砂、氟硅酸钠、纯碱及水等的生产（开采）及运输过程；</w:t>
      </w:r>
    </w:p>
    <w:p w14:paraId="3036CB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jc w:val="left"/>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（3）煤矸石制微晶玻璃生产制造过程，包括车间内部运输、生产制造、暂时储存及包装过程。</w:t>
      </w:r>
    </w:p>
    <w:p w14:paraId="1284B4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黑体" w:hAnsi="Times New Roman" w:eastAsia="黑体" w:cs="Times New Roman"/>
          <w:b w:val="0"/>
          <w:bCs/>
          <w:w w:val="100"/>
          <w:sz w:val="32"/>
          <w:szCs w:val="32"/>
          <w:lang w:val="en-US" w:eastAsia="zh-CN" w:bidi="ar-SA"/>
        </w:rPr>
      </w:pPr>
      <w:r>
        <w:rPr>
          <w:rFonts w:hint="eastAsia" w:ascii="黑体" w:hAnsi="Times New Roman" w:eastAsia="黑体" w:cs="Times New Roman"/>
          <w:b w:val="0"/>
          <w:bCs/>
          <w:w w:val="100"/>
          <w:sz w:val="32"/>
          <w:szCs w:val="32"/>
          <w:lang w:val="en-US" w:eastAsia="zh-CN" w:bidi="ar-SA"/>
        </w:rPr>
        <w:t>5.5企业试算</w:t>
      </w:r>
    </w:p>
    <w:p w14:paraId="416CFFB7">
      <w:pPr>
        <w:pStyle w:val="2"/>
        <w:rPr>
          <w:rFonts w:hint="eastAsia" w:ascii="黑体" w:hAnsi="Times New Roman" w:eastAsia="黑体" w:cs="Times New Roman"/>
          <w:b w:val="0"/>
          <w:bCs/>
          <w:w w:val="100"/>
          <w:sz w:val="32"/>
          <w:szCs w:val="32"/>
          <w:lang w:val="en-US" w:eastAsia="zh-CN" w:bidi="ar-SA"/>
        </w:rPr>
      </w:pPr>
      <w:r>
        <w:rPr>
          <w:rFonts w:hint="eastAsia" w:ascii="黑体" w:hAnsi="Times New Roman" w:eastAsia="黑体" w:cs="Times New Roman"/>
          <w:b w:val="0"/>
          <w:bCs/>
          <w:w w:val="100"/>
          <w:sz w:val="32"/>
          <w:szCs w:val="32"/>
          <w:lang w:val="en-US" w:eastAsia="zh-CN" w:bidi="ar-SA"/>
        </w:rPr>
        <w:t>5.5.1基本信息</w:t>
      </w:r>
    </w:p>
    <w:p w14:paraId="696CCFB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jc w:val="left"/>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本研究的研究对象为：微晶玻璃，具体信息如下：</w:t>
      </w:r>
    </w:p>
    <w:p w14:paraId="25EA54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jc w:val="left"/>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规格型号：1500mm*3150mm*16mm(300mm*300mm*16mm)</w:t>
      </w:r>
    </w:p>
    <w:p w14:paraId="3FFBF3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jc w:val="left"/>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形状与形态：平整、坚硬的矩形薄片状，具有光滑表面和脆性特质</w:t>
      </w:r>
    </w:p>
    <w:p w14:paraId="3873CB8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jc w:val="left"/>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本报告以生产1t氟硅酸盐微晶玻璃为功能单位。</w:t>
      </w:r>
    </w:p>
    <w:p w14:paraId="7326E1C5">
      <w:pPr>
        <w:pStyle w:val="2"/>
        <w:rPr>
          <w:rFonts w:hint="eastAsia" w:ascii="黑体" w:hAnsi="Times New Roman" w:eastAsia="黑体" w:cs="Times New Roman"/>
          <w:b w:val="0"/>
          <w:bCs/>
          <w:w w:val="100"/>
          <w:sz w:val="32"/>
          <w:szCs w:val="32"/>
          <w:lang w:val="en-US" w:eastAsia="zh-CN" w:bidi="ar-SA"/>
        </w:rPr>
      </w:pPr>
      <w:r>
        <w:rPr>
          <w:rFonts w:hint="eastAsia" w:ascii="黑体" w:hAnsi="Times New Roman" w:eastAsia="黑体" w:cs="Times New Roman"/>
          <w:b w:val="0"/>
          <w:bCs/>
          <w:w w:val="100"/>
          <w:sz w:val="32"/>
          <w:szCs w:val="32"/>
          <w:lang w:val="en-US" w:eastAsia="zh-CN" w:bidi="ar-SA"/>
        </w:rPr>
        <w:t>5.5.2碳足迹核算结果</w:t>
      </w:r>
    </w:p>
    <w:p w14:paraId="6D76C3B6">
      <w:pPr>
        <w:pStyle w:val="4"/>
        <w:spacing w:before="0" w:after="0" w:line="360" w:lineRule="auto"/>
        <w:ind w:left="119" w:firstLine="420"/>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采用CLCD质量评估方法，在eF系统上完成对模型清单数据的不确定度评估。本报告研究类型为，得到数据质量评估评估结果见表。</w:t>
      </w:r>
    </w:p>
    <w:p w14:paraId="4232FDB4">
      <w:pPr>
        <w:spacing w:after="0"/>
        <w:jc w:val="center"/>
        <w:rPr>
          <w:rFonts w:hint="default" w:ascii="宋体" w:hAnsi="宋体" w:eastAsia="宋体" w:cs="宋体"/>
          <w:kern w:val="0"/>
          <w:sz w:val="28"/>
          <w:szCs w:val="28"/>
          <w:lang w:val="en-US" w:eastAsia="zh-CN" w:bidi="ar-SA"/>
        </w:rPr>
      </w:pPr>
      <w:r>
        <w:rPr>
          <w:rFonts w:hint="default" w:ascii="宋体" w:hAnsi="宋体" w:eastAsia="宋体" w:cs="宋体"/>
          <w:kern w:val="0"/>
          <w:sz w:val="28"/>
          <w:szCs w:val="28"/>
          <w:lang w:val="en-US" w:eastAsia="zh-CN" w:bidi="ar-SA"/>
        </w:rPr>
        <w:t>表</w:t>
      </w:r>
      <w:r>
        <w:rPr>
          <w:rFonts w:hint="eastAsia" w:ascii="宋体" w:hAnsi="宋体" w:eastAsia="宋体" w:cs="宋体"/>
          <w:kern w:val="0"/>
          <w:sz w:val="28"/>
          <w:szCs w:val="28"/>
          <w:lang w:val="en-US" w:eastAsia="zh-CN" w:bidi="ar-SA"/>
        </w:rPr>
        <w:t>5</w:t>
      </w:r>
      <w:r>
        <w:rPr>
          <w:rFonts w:hint="default" w:ascii="宋体" w:hAnsi="宋体" w:eastAsia="宋体" w:cs="宋体"/>
          <w:kern w:val="0"/>
          <w:sz w:val="28"/>
          <w:szCs w:val="28"/>
          <w:lang w:val="en-US" w:eastAsia="zh-CN" w:bidi="ar-SA"/>
        </w:rPr>
        <w:t>.2 LCA数据质量评估结果</w:t>
      </w:r>
    </w:p>
    <w:tbl>
      <w:tblPr>
        <w:tblStyle w:val="11"/>
        <w:tblW w:w="8306" w:type="dxa"/>
        <w:jc w:val="center"/>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63"/>
        <w:gridCol w:w="1601"/>
        <w:gridCol w:w="1557"/>
        <w:gridCol w:w="1318"/>
        <w:gridCol w:w="2167"/>
      </w:tblGrid>
      <w:tr w14:paraId="1775A5A6">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1663" w:type="dxa"/>
            <w:tcBorders>
              <w:bottom w:val="single" w:color="000000" w:sz="4" w:space="0"/>
            </w:tcBorders>
            <w:noWrap w:val="0"/>
            <w:vAlign w:val="center"/>
          </w:tcPr>
          <w:p w14:paraId="1A0E63A5">
            <w:pPr>
              <w:widowControl w:val="0"/>
              <w:spacing w:after="0"/>
              <w:jc w:val="center"/>
              <w:rPr>
                <w:rStyle w:val="8"/>
                <w:rFonts w:ascii="Times New Roman" w:hAnsi="Times New Roman" w:eastAsia="黑体" w:cs="Times New Roman"/>
                <w:b w:val="0"/>
                <w:bCs w:val="0"/>
                <w:color w:val="000000"/>
                <w:kern w:val="2"/>
                <w:sz w:val="22"/>
                <w:szCs w:val="22"/>
                <w:lang w:val="en-US" w:eastAsia="zh-CN" w:bidi="ar-SA"/>
              </w:rPr>
            </w:pPr>
            <w:r>
              <w:rPr>
                <w:rFonts w:hint="eastAsia" w:ascii="Times New Roman" w:hAnsi="Times New Roman" w:eastAsia="宋体" w:cs="Times New Roman"/>
                <w:b/>
                <w:bCs/>
                <w:color w:val="000000"/>
                <w:kern w:val="2"/>
                <w:sz w:val="22"/>
                <w:szCs w:val="22"/>
                <w:lang w:val="en-US" w:eastAsia="zh-CN" w:bidi="ar-SA"/>
              </w:rPr>
              <w:t>指标</w:t>
            </w:r>
            <w:r>
              <w:rPr>
                <w:rFonts w:ascii="Times New Roman" w:hAnsi="Times New Roman" w:eastAsia="宋体" w:cs="Times New Roman"/>
                <w:b/>
                <w:bCs/>
                <w:color w:val="000000"/>
                <w:kern w:val="2"/>
                <w:sz w:val="22"/>
                <w:szCs w:val="22"/>
                <w:lang w:val="en-US" w:eastAsia="zh-CN" w:bidi="ar-SA"/>
              </w:rPr>
              <w:t>名称</w:t>
            </w:r>
          </w:p>
        </w:tc>
        <w:tc>
          <w:tcPr>
            <w:tcW w:w="1601" w:type="dxa"/>
            <w:tcBorders>
              <w:bottom w:val="single" w:color="000000" w:sz="4" w:space="0"/>
            </w:tcBorders>
            <w:noWrap w:val="0"/>
            <w:vAlign w:val="center"/>
          </w:tcPr>
          <w:p w14:paraId="5F1F334E">
            <w:pPr>
              <w:widowControl w:val="0"/>
              <w:spacing w:after="0"/>
              <w:jc w:val="center"/>
              <w:rPr>
                <w:rStyle w:val="8"/>
                <w:rFonts w:ascii="Times New Roman" w:hAnsi="Times New Roman" w:eastAsia="黑体" w:cs="Times New Roman"/>
                <w:b w:val="0"/>
                <w:bCs w:val="0"/>
                <w:color w:val="000000"/>
                <w:kern w:val="2"/>
                <w:sz w:val="22"/>
                <w:szCs w:val="22"/>
                <w:lang w:val="en-US" w:eastAsia="zh-CN" w:bidi="ar-SA"/>
              </w:rPr>
            </w:pPr>
            <w:r>
              <w:rPr>
                <w:rFonts w:hint="eastAsia" w:ascii="Times New Roman" w:hAnsi="Times New Roman" w:eastAsia="宋体" w:cs="Times New Roman"/>
                <w:b/>
                <w:bCs/>
                <w:color w:val="000000"/>
                <w:kern w:val="2"/>
                <w:sz w:val="22"/>
                <w:szCs w:val="22"/>
                <w:lang w:val="en-US" w:eastAsia="zh-CN" w:bidi="ar-SA"/>
              </w:rPr>
              <w:t>缩写（单位）</w:t>
            </w:r>
          </w:p>
        </w:tc>
        <w:tc>
          <w:tcPr>
            <w:tcW w:w="1557" w:type="dxa"/>
            <w:tcBorders>
              <w:bottom w:val="single" w:color="000000" w:sz="4" w:space="0"/>
            </w:tcBorders>
            <w:noWrap w:val="0"/>
            <w:vAlign w:val="center"/>
          </w:tcPr>
          <w:p w14:paraId="666FEB97">
            <w:pPr>
              <w:widowControl w:val="0"/>
              <w:spacing w:after="0"/>
              <w:jc w:val="center"/>
              <w:rPr>
                <w:rStyle w:val="8"/>
                <w:rFonts w:ascii="Times New Roman" w:hAnsi="Times New Roman" w:eastAsia="宋体" w:cs="Times New Roman"/>
                <w:b w:val="0"/>
                <w:bCs w:val="0"/>
                <w:color w:val="000000"/>
                <w:kern w:val="2"/>
                <w:sz w:val="22"/>
                <w:szCs w:val="22"/>
                <w:lang w:val="en-US" w:eastAsia="zh-CN" w:bidi="ar-SA"/>
              </w:rPr>
            </w:pPr>
            <w:r>
              <w:rPr>
                <w:rFonts w:hint="eastAsia" w:ascii="Times New Roman" w:hAnsi="Times New Roman" w:eastAsia="宋体" w:cs="Times New Roman"/>
                <w:b/>
                <w:bCs/>
                <w:color w:val="000000"/>
                <w:kern w:val="2"/>
                <w:sz w:val="22"/>
                <w:szCs w:val="22"/>
                <w:lang w:val="en-US" w:eastAsia="zh-CN" w:bidi="ar-SA"/>
              </w:rPr>
              <w:t>LCA结果</w:t>
            </w:r>
          </w:p>
        </w:tc>
        <w:tc>
          <w:tcPr>
            <w:tcW w:w="1318" w:type="dxa"/>
            <w:tcBorders>
              <w:bottom w:val="single" w:color="000000" w:sz="4" w:space="0"/>
            </w:tcBorders>
            <w:noWrap w:val="0"/>
            <w:vAlign w:val="center"/>
          </w:tcPr>
          <w:p w14:paraId="0BDEAC87">
            <w:pPr>
              <w:widowControl w:val="0"/>
              <w:spacing w:after="0"/>
              <w:jc w:val="center"/>
              <w:rPr>
                <w:rStyle w:val="8"/>
                <w:rFonts w:ascii="Times New Roman" w:hAnsi="Times New Roman" w:eastAsia="宋体" w:cs="Times New Roman"/>
                <w:b w:val="0"/>
                <w:bCs w:val="0"/>
                <w:color w:val="000000"/>
                <w:kern w:val="2"/>
                <w:sz w:val="22"/>
                <w:szCs w:val="22"/>
                <w:lang w:val="en-US" w:eastAsia="zh-CN" w:bidi="ar-SA"/>
              </w:rPr>
            </w:pPr>
            <w:r>
              <w:rPr>
                <w:rFonts w:ascii="Times New Roman" w:hAnsi="Times New Roman" w:eastAsia="宋体" w:cs="Times New Roman"/>
                <w:b/>
                <w:bCs/>
                <w:color w:val="000000"/>
                <w:kern w:val="2"/>
                <w:sz w:val="22"/>
                <w:szCs w:val="22"/>
                <w:lang w:val="en-US" w:eastAsia="zh-CN" w:bidi="ar-SA"/>
              </w:rPr>
              <w:t>结果不确定度</w:t>
            </w:r>
          </w:p>
        </w:tc>
        <w:tc>
          <w:tcPr>
            <w:tcW w:w="2167" w:type="dxa"/>
            <w:tcBorders>
              <w:bottom w:val="single" w:color="000000" w:sz="4" w:space="0"/>
            </w:tcBorders>
            <w:noWrap w:val="0"/>
            <w:vAlign w:val="center"/>
          </w:tcPr>
          <w:p w14:paraId="61038058">
            <w:pPr>
              <w:widowControl w:val="0"/>
              <w:spacing w:after="0"/>
              <w:jc w:val="center"/>
              <w:rPr>
                <w:rStyle w:val="8"/>
                <w:rFonts w:ascii="Times New Roman" w:hAnsi="Times New Roman" w:eastAsia="宋体" w:cs="Times New Roman"/>
                <w:b w:val="0"/>
                <w:bCs w:val="0"/>
                <w:color w:val="000000"/>
                <w:kern w:val="2"/>
                <w:sz w:val="22"/>
                <w:szCs w:val="22"/>
                <w:lang w:val="en-US" w:eastAsia="zh-CN" w:bidi="ar-SA"/>
              </w:rPr>
            </w:pPr>
            <w:r>
              <w:rPr>
                <w:rFonts w:ascii="Times New Roman" w:hAnsi="Times New Roman" w:eastAsia="宋体" w:cs="Times New Roman"/>
                <w:b/>
                <w:bCs/>
                <w:color w:val="000000"/>
                <w:kern w:val="2"/>
                <w:sz w:val="22"/>
                <w:szCs w:val="22"/>
                <w:lang w:val="en-US" w:eastAsia="zh-CN" w:bidi="ar-SA"/>
              </w:rPr>
              <w:t>结果上下限</w:t>
            </w:r>
          </w:p>
          <w:p w14:paraId="60A0A5AD">
            <w:pPr>
              <w:widowControl w:val="0"/>
              <w:spacing w:after="0"/>
              <w:jc w:val="center"/>
              <w:rPr>
                <w:rStyle w:val="8"/>
                <w:rFonts w:ascii="Times New Roman" w:hAnsi="Times New Roman" w:eastAsia="宋体" w:cs="Times New Roman"/>
                <w:b w:val="0"/>
                <w:bCs w:val="0"/>
                <w:color w:val="000000"/>
                <w:kern w:val="2"/>
                <w:sz w:val="22"/>
                <w:szCs w:val="22"/>
                <w:lang w:val="en-US" w:eastAsia="zh-CN" w:bidi="ar-SA"/>
              </w:rPr>
            </w:pPr>
            <w:r>
              <w:rPr>
                <w:rFonts w:hint="eastAsia" w:ascii="Times New Roman" w:hAnsi="Times New Roman" w:eastAsia="宋体" w:cs="Times New Roman"/>
                <w:b/>
                <w:bCs/>
                <w:color w:val="000000"/>
                <w:kern w:val="2"/>
                <w:sz w:val="22"/>
                <w:szCs w:val="22"/>
                <w:lang w:val="en-US" w:eastAsia="zh-CN" w:bidi="ar-SA"/>
              </w:rPr>
              <w:t>（95%置信区间）</w:t>
            </w:r>
          </w:p>
        </w:tc>
      </w:tr>
      <w:tr w14:paraId="0BE8F9E9">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1663" w:type="dxa"/>
            <w:noWrap w:val="0"/>
            <w:vAlign w:val="center"/>
          </w:tcPr>
          <w:p w14:paraId="4264C8DD">
            <w:pPr>
              <w:widowControl w:val="0"/>
              <w:spacing w:after="0"/>
              <w:jc w:val="center"/>
              <w:rPr>
                <w:rStyle w:val="8"/>
                <w:rFonts w:ascii="Times New Roman" w:hAnsi="Times New Roman" w:eastAsia="宋体" w:cs="Times New Roman"/>
                <w:b/>
                <w:bCs w:val="0"/>
                <w:color w:val="000000"/>
                <w:kern w:val="2"/>
                <w:sz w:val="22"/>
                <w:szCs w:val="22"/>
                <w:lang w:val="en-US" w:eastAsia="zh-CN" w:bidi="ar-SA"/>
              </w:rPr>
            </w:pPr>
            <w:r>
              <w:rPr>
                <w:rFonts w:ascii="Times New Roman" w:hAnsi="Times New Roman" w:eastAsia="宋体" w:cs="Times New Roman"/>
                <w:b w:val="0"/>
                <w:bCs w:val="0"/>
                <w:color w:val="000000"/>
                <w:kern w:val="2"/>
                <w:sz w:val="22"/>
                <w:szCs w:val="22"/>
                <w:lang w:val="en-US" w:eastAsia="zh-CN" w:bidi="ar-SA"/>
              </w:rPr>
              <w:t>气候变化</w:t>
            </w:r>
          </w:p>
        </w:tc>
        <w:tc>
          <w:tcPr>
            <w:tcW w:w="1601" w:type="dxa"/>
            <w:noWrap w:val="0"/>
            <w:vAlign w:val="center"/>
          </w:tcPr>
          <w:p w14:paraId="5459E98D">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2"/>
                <w:lang w:val="en-US" w:eastAsia="zh-CN" w:bidi="ar-SA"/>
              </w:rPr>
              <w:t>GWP-2021(kg CO2 eq)</w:t>
            </w:r>
          </w:p>
        </w:tc>
        <w:tc>
          <w:tcPr>
            <w:tcW w:w="1557" w:type="dxa"/>
            <w:noWrap w:val="0"/>
            <w:vAlign w:val="center"/>
          </w:tcPr>
          <w:p w14:paraId="1B1B0867">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2"/>
                <w:lang w:val="en-US" w:eastAsia="zh-CN" w:bidi="ar-SA"/>
              </w:rPr>
              <w:t>1.917E+003</w:t>
            </w:r>
          </w:p>
        </w:tc>
        <w:tc>
          <w:tcPr>
            <w:tcW w:w="1318" w:type="dxa"/>
            <w:noWrap w:val="0"/>
            <w:vAlign w:val="center"/>
          </w:tcPr>
          <w:p w14:paraId="25208110">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2"/>
                <w:lang w:val="en-US" w:eastAsia="zh-CN" w:bidi="ar-SA"/>
              </w:rPr>
              <w:t>10.95%</w:t>
            </w:r>
          </w:p>
        </w:tc>
        <w:tc>
          <w:tcPr>
            <w:tcW w:w="2167" w:type="dxa"/>
            <w:noWrap w:val="0"/>
            <w:vAlign w:val="center"/>
          </w:tcPr>
          <w:p w14:paraId="36E252C0">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4"/>
                <w:lang w:val="en-US" w:eastAsia="zh-CN" w:bidi="ar-SA"/>
              </w:rPr>
              <w:t>[1707.09,2126.91]</w:t>
            </w:r>
          </w:p>
        </w:tc>
      </w:tr>
      <w:tr w14:paraId="1B556757">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1663" w:type="dxa"/>
            <w:noWrap w:val="0"/>
            <w:vAlign w:val="center"/>
          </w:tcPr>
          <w:p w14:paraId="6C8233F2">
            <w:pPr>
              <w:widowControl w:val="0"/>
              <w:spacing w:after="0"/>
              <w:jc w:val="center"/>
              <w:rPr>
                <w:rStyle w:val="8"/>
                <w:rFonts w:ascii="Times New Roman" w:hAnsi="Times New Roman" w:eastAsia="宋体" w:cs="Times New Roman"/>
                <w:b/>
                <w:bCs w:val="0"/>
                <w:color w:val="000000"/>
                <w:kern w:val="2"/>
                <w:sz w:val="22"/>
                <w:szCs w:val="22"/>
                <w:lang w:val="en-US" w:eastAsia="zh-CN" w:bidi="ar-SA"/>
              </w:rPr>
            </w:pPr>
            <w:r>
              <w:rPr>
                <w:rFonts w:ascii="Times New Roman" w:hAnsi="Times New Roman" w:eastAsia="宋体" w:cs="Times New Roman"/>
                <w:b w:val="0"/>
                <w:bCs w:val="0"/>
                <w:color w:val="000000"/>
                <w:kern w:val="2"/>
                <w:sz w:val="22"/>
                <w:szCs w:val="22"/>
                <w:lang w:val="en-US" w:eastAsia="zh-CN" w:bidi="ar-SA"/>
              </w:rPr>
              <w:t>一次能源消耗</w:t>
            </w:r>
          </w:p>
        </w:tc>
        <w:tc>
          <w:tcPr>
            <w:tcW w:w="1601" w:type="dxa"/>
            <w:noWrap w:val="0"/>
            <w:vAlign w:val="center"/>
          </w:tcPr>
          <w:p w14:paraId="23A9BE40">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2"/>
                <w:lang w:val="en-US" w:eastAsia="zh-CN" w:bidi="ar-SA"/>
              </w:rPr>
              <w:t>PED(MJ)</w:t>
            </w:r>
          </w:p>
        </w:tc>
        <w:tc>
          <w:tcPr>
            <w:tcW w:w="1557" w:type="dxa"/>
            <w:noWrap w:val="0"/>
            <w:vAlign w:val="center"/>
          </w:tcPr>
          <w:p w14:paraId="54C00257">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2"/>
                <w:lang w:val="en-US" w:eastAsia="zh-CN" w:bidi="ar-SA"/>
              </w:rPr>
              <w:t>4.056E+004</w:t>
            </w:r>
          </w:p>
        </w:tc>
        <w:tc>
          <w:tcPr>
            <w:tcW w:w="1318" w:type="dxa"/>
            <w:noWrap w:val="0"/>
            <w:vAlign w:val="center"/>
          </w:tcPr>
          <w:p w14:paraId="43EF4607">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2"/>
                <w:lang w:val="en-US" w:eastAsia="zh-CN" w:bidi="ar-SA"/>
              </w:rPr>
              <w:t>11.22%</w:t>
            </w:r>
          </w:p>
        </w:tc>
        <w:tc>
          <w:tcPr>
            <w:tcW w:w="2167" w:type="dxa"/>
            <w:noWrap w:val="0"/>
            <w:vAlign w:val="center"/>
          </w:tcPr>
          <w:p w14:paraId="05A49817">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4"/>
                <w:lang w:val="en-US" w:eastAsia="zh-CN" w:bidi="ar-SA"/>
              </w:rPr>
              <w:t>[3.60E+04,4.51E+04]</w:t>
            </w:r>
          </w:p>
        </w:tc>
      </w:tr>
      <w:tr w14:paraId="0DDFD69B">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1663" w:type="dxa"/>
            <w:noWrap w:val="0"/>
            <w:vAlign w:val="center"/>
          </w:tcPr>
          <w:p w14:paraId="70689363">
            <w:pPr>
              <w:widowControl w:val="0"/>
              <w:spacing w:after="0"/>
              <w:jc w:val="center"/>
              <w:rPr>
                <w:rStyle w:val="8"/>
                <w:rFonts w:ascii="Times New Roman" w:hAnsi="Times New Roman" w:eastAsia="宋体" w:cs="Times New Roman"/>
                <w:b/>
                <w:bCs w:val="0"/>
                <w:color w:val="000000"/>
                <w:kern w:val="2"/>
                <w:sz w:val="22"/>
                <w:szCs w:val="22"/>
                <w:lang w:val="en-US" w:eastAsia="zh-CN" w:bidi="ar-SA"/>
              </w:rPr>
            </w:pPr>
            <w:r>
              <w:rPr>
                <w:rFonts w:ascii="Times New Roman" w:hAnsi="Times New Roman" w:eastAsia="宋体" w:cs="Times New Roman"/>
                <w:b w:val="0"/>
                <w:bCs w:val="0"/>
                <w:color w:val="000000"/>
                <w:kern w:val="2"/>
                <w:sz w:val="22"/>
                <w:szCs w:val="22"/>
                <w:lang w:val="en-US" w:eastAsia="zh-CN" w:bidi="ar-SA"/>
              </w:rPr>
              <w:t>非生物资源消耗潜值</w:t>
            </w:r>
          </w:p>
        </w:tc>
        <w:tc>
          <w:tcPr>
            <w:tcW w:w="1601" w:type="dxa"/>
            <w:noWrap w:val="0"/>
            <w:vAlign w:val="center"/>
          </w:tcPr>
          <w:p w14:paraId="197C45A2">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2"/>
                <w:lang w:val="en-US" w:eastAsia="zh-CN" w:bidi="ar-SA"/>
              </w:rPr>
              <w:t>ADP(kg antimony eq.)</w:t>
            </w:r>
          </w:p>
        </w:tc>
        <w:tc>
          <w:tcPr>
            <w:tcW w:w="1557" w:type="dxa"/>
            <w:noWrap w:val="0"/>
            <w:vAlign w:val="center"/>
          </w:tcPr>
          <w:p w14:paraId="5D791581">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2"/>
                <w:lang w:val="en-US" w:eastAsia="zh-CN" w:bidi="ar-SA"/>
              </w:rPr>
              <w:t>2.325E-002</w:t>
            </w:r>
          </w:p>
        </w:tc>
        <w:tc>
          <w:tcPr>
            <w:tcW w:w="1318" w:type="dxa"/>
            <w:noWrap w:val="0"/>
            <w:vAlign w:val="center"/>
          </w:tcPr>
          <w:p w14:paraId="0C7B7B38">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2"/>
                <w:lang w:val="en-US" w:eastAsia="zh-CN" w:bidi="ar-SA"/>
              </w:rPr>
              <w:t>23.47%</w:t>
            </w:r>
          </w:p>
        </w:tc>
        <w:tc>
          <w:tcPr>
            <w:tcW w:w="2167" w:type="dxa"/>
            <w:noWrap w:val="0"/>
            <w:vAlign w:val="center"/>
          </w:tcPr>
          <w:p w14:paraId="3BAD3716">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4"/>
                <w:lang w:val="en-US" w:eastAsia="zh-CN" w:bidi="ar-SA"/>
              </w:rPr>
              <w:t>[0.02,0.03]</w:t>
            </w:r>
          </w:p>
        </w:tc>
      </w:tr>
      <w:tr w14:paraId="478C4C55">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1663" w:type="dxa"/>
            <w:noWrap w:val="0"/>
            <w:vAlign w:val="center"/>
          </w:tcPr>
          <w:p w14:paraId="2A4E34DD">
            <w:pPr>
              <w:widowControl w:val="0"/>
              <w:spacing w:after="0"/>
              <w:jc w:val="center"/>
              <w:rPr>
                <w:rStyle w:val="8"/>
                <w:rFonts w:ascii="Times New Roman" w:hAnsi="Times New Roman" w:eastAsia="宋体" w:cs="Times New Roman"/>
                <w:b/>
                <w:bCs w:val="0"/>
                <w:color w:val="000000"/>
                <w:kern w:val="2"/>
                <w:sz w:val="22"/>
                <w:szCs w:val="22"/>
                <w:lang w:val="en-US" w:eastAsia="zh-CN" w:bidi="ar-SA"/>
              </w:rPr>
            </w:pPr>
            <w:r>
              <w:rPr>
                <w:rFonts w:ascii="Times New Roman" w:hAnsi="Times New Roman" w:eastAsia="宋体" w:cs="Times New Roman"/>
                <w:b w:val="0"/>
                <w:bCs w:val="0"/>
                <w:color w:val="000000"/>
                <w:kern w:val="2"/>
                <w:sz w:val="22"/>
                <w:szCs w:val="22"/>
                <w:lang w:val="en-US" w:eastAsia="zh-CN" w:bidi="ar-SA"/>
              </w:rPr>
              <w:t>水资源消耗</w:t>
            </w:r>
          </w:p>
        </w:tc>
        <w:tc>
          <w:tcPr>
            <w:tcW w:w="1601" w:type="dxa"/>
            <w:noWrap w:val="0"/>
            <w:vAlign w:val="center"/>
          </w:tcPr>
          <w:p w14:paraId="7C940C1A">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2"/>
                <w:lang w:val="en-US" w:eastAsia="zh-CN" w:bidi="ar-SA"/>
              </w:rPr>
              <w:t>WU(kg)</w:t>
            </w:r>
          </w:p>
        </w:tc>
        <w:tc>
          <w:tcPr>
            <w:tcW w:w="1557" w:type="dxa"/>
            <w:noWrap w:val="0"/>
            <w:vAlign w:val="center"/>
          </w:tcPr>
          <w:p w14:paraId="7874F9E9">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2"/>
                <w:lang w:val="en-US" w:eastAsia="zh-CN" w:bidi="ar-SA"/>
              </w:rPr>
              <w:t>5.604E+004</w:t>
            </w:r>
          </w:p>
        </w:tc>
        <w:tc>
          <w:tcPr>
            <w:tcW w:w="1318" w:type="dxa"/>
            <w:noWrap w:val="0"/>
            <w:vAlign w:val="center"/>
          </w:tcPr>
          <w:p w14:paraId="67C6B9E2">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2"/>
                <w:lang w:val="en-US" w:eastAsia="zh-CN" w:bidi="ar-SA"/>
              </w:rPr>
              <w:t>29.68%</w:t>
            </w:r>
          </w:p>
        </w:tc>
        <w:tc>
          <w:tcPr>
            <w:tcW w:w="2167" w:type="dxa"/>
            <w:noWrap w:val="0"/>
            <w:vAlign w:val="center"/>
          </w:tcPr>
          <w:p w14:paraId="161425C7">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4"/>
                <w:lang w:val="en-US" w:eastAsia="zh-CN" w:bidi="ar-SA"/>
              </w:rPr>
              <w:t>[3.94E+04,7.27E+04]</w:t>
            </w:r>
          </w:p>
        </w:tc>
      </w:tr>
      <w:tr w14:paraId="2F2F986E">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1663" w:type="dxa"/>
            <w:noWrap w:val="0"/>
            <w:vAlign w:val="center"/>
          </w:tcPr>
          <w:p w14:paraId="2B5D950D">
            <w:pPr>
              <w:widowControl w:val="0"/>
              <w:spacing w:after="0"/>
              <w:jc w:val="center"/>
              <w:rPr>
                <w:rStyle w:val="8"/>
                <w:rFonts w:ascii="Times New Roman" w:hAnsi="Times New Roman" w:eastAsia="宋体" w:cs="Times New Roman"/>
                <w:b/>
                <w:bCs w:val="0"/>
                <w:color w:val="000000"/>
                <w:kern w:val="2"/>
                <w:sz w:val="22"/>
                <w:szCs w:val="22"/>
                <w:lang w:val="en-US" w:eastAsia="zh-CN" w:bidi="ar-SA"/>
              </w:rPr>
            </w:pPr>
            <w:r>
              <w:rPr>
                <w:rFonts w:ascii="Times New Roman" w:hAnsi="Times New Roman" w:eastAsia="宋体" w:cs="Times New Roman"/>
                <w:b w:val="0"/>
                <w:bCs w:val="0"/>
                <w:color w:val="000000"/>
                <w:kern w:val="2"/>
                <w:sz w:val="22"/>
                <w:szCs w:val="22"/>
                <w:lang w:val="en-US" w:eastAsia="zh-CN" w:bidi="ar-SA"/>
              </w:rPr>
              <w:t>酸化</w:t>
            </w:r>
          </w:p>
        </w:tc>
        <w:tc>
          <w:tcPr>
            <w:tcW w:w="1601" w:type="dxa"/>
            <w:noWrap w:val="0"/>
            <w:vAlign w:val="center"/>
          </w:tcPr>
          <w:p w14:paraId="11FF0912">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2"/>
                <w:lang w:val="en-US" w:eastAsia="zh-CN" w:bidi="ar-SA"/>
              </w:rPr>
              <w:t>AP(kg SO2 eq)</w:t>
            </w:r>
          </w:p>
        </w:tc>
        <w:tc>
          <w:tcPr>
            <w:tcW w:w="1557" w:type="dxa"/>
            <w:noWrap w:val="0"/>
            <w:vAlign w:val="center"/>
          </w:tcPr>
          <w:p w14:paraId="2216BB6B">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2"/>
                <w:lang w:val="en-US" w:eastAsia="zh-CN" w:bidi="ar-SA"/>
              </w:rPr>
              <w:t>1.355E+001</w:t>
            </w:r>
          </w:p>
        </w:tc>
        <w:tc>
          <w:tcPr>
            <w:tcW w:w="1318" w:type="dxa"/>
            <w:noWrap w:val="0"/>
            <w:vAlign w:val="center"/>
          </w:tcPr>
          <w:p w14:paraId="17CE5EE3">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2"/>
                <w:lang w:val="en-US" w:eastAsia="zh-CN" w:bidi="ar-SA"/>
              </w:rPr>
              <w:t>12.93%</w:t>
            </w:r>
          </w:p>
        </w:tc>
        <w:tc>
          <w:tcPr>
            <w:tcW w:w="2167" w:type="dxa"/>
            <w:noWrap w:val="0"/>
            <w:vAlign w:val="center"/>
          </w:tcPr>
          <w:p w14:paraId="0E8FFC57">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4"/>
                <w:lang w:val="en-US" w:eastAsia="zh-CN" w:bidi="ar-SA"/>
              </w:rPr>
              <w:t>[11.8,15.3]</w:t>
            </w:r>
          </w:p>
        </w:tc>
      </w:tr>
      <w:tr w14:paraId="46138700">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1663" w:type="dxa"/>
            <w:noWrap w:val="0"/>
            <w:vAlign w:val="center"/>
          </w:tcPr>
          <w:p w14:paraId="6520989F">
            <w:pPr>
              <w:widowControl w:val="0"/>
              <w:spacing w:after="0"/>
              <w:jc w:val="center"/>
              <w:rPr>
                <w:rStyle w:val="8"/>
                <w:rFonts w:ascii="Times New Roman" w:hAnsi="Times New Roman" w:eastAsia="宋体" w:cs="Times New Roman"/>
                <w:b/>
                <w:bCs w:val="0"/>
                <w:color w:val="000000"/>
                <w:kern w:val="2"/>
                <w:sz w:val="22"/>
                <w:szCs w:val="22"/>
                <w:lang w:val="en-US" w:eastAsia="zh-CN" w:bidi="ar-SA"/>
              </w:rPr>
            </w:pPr>
            <w:r>
              <w:rPr>
                <w:rFonts w:ascii="Times New Roman" w:hAnsi="Times New Roman" w:eastAsia="宋体" w:cs="Times New Roman"/>
                <w:b w:val="0"/>
                <w:bCs w:val="0"/>
                <w:color w:val="000000"/>
                <w:kern w:val="2"/>
                <w:sz w:val="22"/>
                <w:szCs w:val="22"/>
                <w:lang w:val="en-US" w:eastAsia="zh-CN" w:bidi="ar-SA"/>
              </w:rPr>
              <w:t>富营养化潜值</w:t>
            </w:r>
          </w:p>
        </w:tc>
        <w:tc>
          <w:tcPr>
            <w:tcW w:w="1601" w:type="dxa"/>
            <w:noWrap w:val="0"/>
            <w:vAlign w:val="center"/>
          </w:tcPr>
          <w:p w14:paraId="5ACEC3ED">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2"/>
                <w:lang w:val="en-US" w:eastAsia="zh-CN" w:bidi="ar-SA"/>
              </w:rPr>
              <w:t>EP(kg PO43-eq)</w:t>
            </w:r>
          </w:p>
        </w:tc>
        <w:tc>
          <w:tcPr>
            <w:tcW w:w="1557" w:type="dxa"/>
            <w:noWrap w:val="0"/>
            <w:vAlign w:val="center"/>
          </w:tcPr>
          <w:p w14:paraId="47838125">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2"/>
                <w:lang w:val="en-US" w:eastAsia="zh-CN" w:bidi="ar-SA"/>
              </w:rPr>
              <w:t>1.497E+000</w:t>
            </w:r>
          </w:p>
        </w:tc>
        <w:tc>
          <w:tcPr>
            <w:tcW w:w="1318" w:type="dxa"/>
            <w:noWrap w:val="0"/>
            <w:vAlign w:val="center"/>
          </w:tcPr>
          <w:p w14:paraId="2816BAC8">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2"/>
                <w:lang w:val="en-US" w:eastAsia="zh-CN" w:bidi="ar-SA"/>
              </w:rPr>
              <w:t>14.53%</w:t>
            </w:r>
          </w:p>
        </w:tc>
        <w:tc>
          <w:tcPr>
            <w:tcW w:w="2167" w:type="dxa"/>
            <w:noWrap w:val="0"/>
            <w:vAlign w:val="center"/>
          </w:tcPr>
          <w:p w14:paraId="5AB74C54">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4"/>
                <w:lang w:val="en-US" w:eastAsia="zh-CN" w:bidi="ar-SA"/>
              </w:rPr>
              <w:t>[1.28,1.71]</w:t>
            </w:r>
          </w:p>
        </w:tc>
      </w:tr>
      <w:tr w14:paraId="036873D6">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1663" w:type="dxa"/>
            <w:noWrap w:val="0"/>
            <w:vAlign w:val="center"/>
          </w:tcPr>
          <w:p w14:paraId="4564C61A">
            <w:pPr>
              <w:widowControl w:val="0"/>
              <w:spacing w:after="0"/>
              <w:jc w:val="center"/>
              <w:rPr>
                <w:rStyle w:val="8"/>
                <w:rFonts w:ascii="Times New Roman" w:hAnsi="Times New Roman" w:eastAsia="宋体" w:cs="Times New Roman"/>
                <w:b/>
                <w:bCs w:val="0"/>
                <w:color w:val="000000"/>
                <w:kern w:val="2"/>
                <w:sz w:val="22"/>
                <w:szCs w:val="22"/>
                <w:lang w:val="en-US" w:eastAsia="zh-CN" w:bidi="ar-SA"/>
              </w:rPr>
            </w:pPr>
            <w:r>
              <w:rPr>
                <w:rFonts w:ascii="Times New Roman" w:hAnsi="Times New Roman" w:eastAsia="宋体" w:cs="Times New Roman"/>
                <w:b w:val="0"/>
                <w:bCs w:val="0"/>
                <w:color w:val="000000"/>
                <w:kern w:val="2"/>
                <w:sz w:val="22"/>
                <w:szCs w:val="22"/>
                <w:lang w:val="en-US" w:eastAsia="zh-CN" w:bidi="ar-SA"/>
              </w:rPr>
              <w:t>可吸入无机物</w:t>
            </w:r>
          </w:p>
        </w:tc>
        <w:tc>
          <w:tcPr>
            <w:tcW w:w="1601" w:type="dxa"/>
            <w:noWrap w:val="0"/>
            <w:vAlign w:val="center"/>
          </w:tcPr>
          <w:p w14:paraId="5DEA909E">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2"/>
                <w:lang w:val="en-US" w:eastAsia="zh-CN" w:bidi="ar-SA"/>
              </w:rPr>
              <w:t>RI(kg PM2.5 eq)</w:t>
            </w:r>
          </w:p>
        </w:tc>
        <w:tc>
          <w:tcPr>
            <w:tcW w:w="1557" w:type="dxa"/>
            <w:noWrap w:val="0"/>
            <w:vAlign w:val="center"/>
          </w:tcPr>
          <w:p w14:paraId="4E9CCD2A">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2"/>
                <w:lang w:val="en-US" w:eastAsia="zh-CN" w:bidi="ar-SA"/>
              </w:rPr>
              <w:t>2.620E+000</w:t>
            </w:r>
          </w:p>
        </w:tc>
        <w:tc>
          <w:tcPr>
            <w:tcW w:w="1318" w:type="dxa"/>
            <w:noWrap w:val="0"/>
            <w:vAlign w:val="center"/>
          </w:tcPr>
          <w:p w14:paraId="50CAE90D">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2"/>
                <w:lang w:val="en-US" w:eastAsia="zh-CN" w:bidi="ar-SA"/>
              </w:rPr>
              <w:t>10.80%</w:t>
            </w:r>
          </w:p>
        </w:tc>
        <w:tc>
          <w:tcPr>
            <w:tcW w:w="2167" w:type="dxa"/>
            <w:noWrap w:val="0"/>
            <w:vAlign w:val="center"/>
          </w:tcPr>
          <w:p w14:paraId="2A1E9F0C">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4"/>
                <w:lang w:val="en-US" w:eastAsia="zh-CN" w:bidi="ar-SA"/>
              </w:rPr>
              <w:t>[2.34,2.9]</w:t>
            </w:r>
          </w:p>
        </w:tc>
      </w:tr>
      <w:tr w14:paraId="0F8D8462">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1663" w:type="dxa"/>
            <w:noWrap w:val="0"/>
            <w:vAlign w:val="center"/>
          </w:tcPr>
          <w:p w14:paraId="130C5A3C">
            <w:pPr>
              <w:widowControl w:val="0"/>
              <w:spacing w:after="0"/>
              <w:jc w:val="center"/>
              <w:rPr>
                <w:rStyle w:val="8"/>
                <w:rFonts w:ascii="Times New Roman" w:hAnsi="Times New Roman" w:eastAsia="宋体" w:cs="Times New Roman"/>
                <w:b/>
                <w:bCs w:val="0"/>
                <w:color w:val="000000"/>
                <w:kern w:val="2"/>
                <w:sz w:val="22"/>
                <w:szCs w:val="22"/>
                <w:lang w:val="en-US" w:eastAsia="zh-CN" w:bidi="ar-SA"/>
              </w:rPr>
            </w:pPr>
            <w:r>
              <w:rPr>
                <w:rFonts w:ascii="Times New Roman" w:hAnsi="Times New Roman" w:eastAsia="宋体" w:cs="Times New Roman"/>
                <w:b w:val="0"/>
                <w:bCs w:val="0"/>
                <w:color w:val="000000"/>
                <w:kern w:val="2"/>
                <w:sz w:val="22"/>
                <w:szCs w:val="22"/>
                <w:lang w:val="en-US" w:eastAsia="zh-CN" w:bidi="ar-SA"/>
              </w:rPr>
              <w:t>臭氧层消耗</w:t>
            </w:r>
          </w:p>
        </w:tc>
        <w:tc>
          <w:tcPr>
            <w:tcW w:w="1601" w:type="dxa"/>
            <w:noWrap w:val="0"/>
            <w:vAlign w:val="center"/>
          </w:tcPr>
          <w:p w14:paraId="330282C8">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2"/>
                <w:lang w:val="en-US" w:eastAsia="zh-CN" w:bidi="ar-SA"/>
              </w:rPr>
              <w:t>ODP(kg CFC-11 eq)</w:t>
            </w:r>
          </w:p>
        </w:tc>
        <w:tc>
          <w:tcPr>
            <w:tcW w:w="1557" w:type="dxa"/>
            <w:noWrap w:val="0"/>
            <w:vAlign w:val="center"/>
          </w:tcPr>
          <w:p w14:paraId="1F6F65A3">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2"/>
                <w:lang w:val="en-US" w:eastAsia="zh-CN" w:bidi="ar-SA"/>
              </w:rPr>
              <w:t>6.401E-006</w:t>
            </w:r>
          </w:p>
        </w:tc>
        <w:tc>
          <w:tcPr>
            <w:tcW w:w="1318" w:type="dxa"/>
            <w:noWrap w:val="0"/>
            <w:vAlign w:val="center"/>
          </w:tcPr>
          <w:p w14:paraId="4C4B30D2">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2"/>
                <w:lang w:val="en-US" w:eastAsia="zh-CN" w:bidi="ar-SA"/>
              </w:rPr>
              <w:t>6.52%</w:t>
            </w:r>
          </w:p>
        </w:tc>
        <w:tc>
          <w:tcPr>
            <w:tcW w:w="2167" w:type="dxa"/>
            <w:noWrap w:val="0"/>
            <w:vAlign w:val="center"/>
          </w:tcPr>
          <w:p w14:paraId="423F0928">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4"/>
                <w:lang w:val="en-US" w:eastAsia="zh-CN" w:bidi="ar-SA"/>
              </w:rPr>
              <w:t>[5.98E-06,6.81E-06]</w:t>
            </w:r>
          </w:p>
        </w:tc>
      </w:tr>
      <w:tr w14:paraId="5501BCA6">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1663" w:type="dxa"/>
            <w:noWrap w:val="0"/>
            <w:vAlign w:val="center"/>
          </w:tcPr>
          <w:p w14:paraId="3B483C2F">
            <w:pPr>
              <w:widowControl w:val="0"/>
              <w:spacing w:after="0"/>
              <w:jc w:val="center"/>
              <w:rPr>
                <w:rStyle w:val="8"/>
                <w:rFonts w:ascii="Times New Roman" w:hAnsi="Times New Roman" w:eastAsia="宋体" w:cs="Times New Roman"/>
                <w:b/>
                <w:bCs w:val="0"/>
                <w:color w:val="000000"/>
                <w:kern w:val="2"/>
                <w:sz w:val="22"/>
                <w:szCs w:val="22"/>
                <w:lang w:val="en-US" w:eastAsia="zh-CN" w:bidi="ar-SA"/>
              </w:rPr>
            </w:pPr>
            <w:r>
              <w:rPr>
                <w:rFonts w:ascii="Times New Roman" w:hAnsi="Times New Roman" w:eastAsia="宋体" w:cs="Times New Roman"/>
                <w:b w:val="0"/>
                <w:bCs w:val="0"/>
                <w:color w:val="000000"/>
                <w:kern w:val="2"/>
                <w:sz w:val="22"/>
                <w:szCs w:val="22"/>
                <w:lang w:val="en-US" w:eastAsia="zh-CN" w:bidi="ar-SA"/>
              </w:rPr>
              <w:t>光化学臭氧合成</w:t>
            </w:r>
          </w:p>
        </w:tc>
        <w:tc>
          <w:tcPr>
            <w:tcW w:w="1601" w:type="dxa"/>
            <w:noWrap w:val="0"/>
            <w:vAlign w:val="center"/>
          </w:tcPr>
          <w:p w14:paraId="4ABA0993">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2"/>
                <w:lang w:val="en-US" w:eastAsia="zh-CN" w:bidi="ar-SA"/>
              </w:rPr>
              <w:t>POFP(kg NMVOC  eq)</w:t>
            </w:r>
          </w:p>
        </w:tc>
        <w:tc>
          <w:tcPr>
            <w:tcW w:w="1557" w:type="dxa"/>
            <w:noWrap w:val="0"/>
            <w:vAlign w:val="center"/>
          </w:tcPr>
          <w:p w14:paraId="28B5FA16">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2"/>
                <w:lang w:val="en-US" w:eastAsia="zh-CN" w:bidi="ar-SA"/>
              </w:rPr>
              <w:t>1.228E+000</w:t>
            </w:r>
          </w:p>
        </w:tc>
        <w:tc>
          <w:tcPr>
            <w:tcW w:w="1318" w:type="dxa"/>
            <w:noWrap w:val="0"/>
            <w:vAlign w:val="center"/>
          </w:tcPr>
          <w:p w14:paraId="763EB844">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2"/>
                <w:lang w:val="en-US" w:eastAsia="zh-CN" w:bidi="ar-SA"/>
              </w:rPr>
              <w:t>11.26%</w:t>
            </w:r>
          </w:p>
        </w:tc>
        <w:tc>
          <w:tcPr>
            <w:tcW w:w="2167" w:type="dxa"/>
            <w:noWrap w:val="0"/>
            <w:vAlign w:val="center"/>
          </w:tcPr>
          <w:p w14:paraId="49D108B6">
            <w:pPr>
              <w:widowControl w:val="0"/>
              <w:spacing w:after="0"/>
              <w:jc w:val="center"/>
              <w:rPr>
                <w:rStyle w:val="8"/>
                <w:rFonts w:ascii="Times New Roman" w:hAnsi="Times New Roman" w:eastAsia="宋体" w:cs="Times New Roman"/>
                <w:color w:val="000000"/>
                <w:kern w:val="2"/>
                <w:sz w:val="22"/>
                <w:szCs w:val="22"/>
                <w:lang w:val="en-US" w:eastAsia="zh-CN" w:bidi="ar-SA"/>
              </w:rPr>
            </w:pPr>
            <w:r>
              <w:rPr>
                <w:rFonts w:ascii="Times New Roman" w:hAnsi="Times New Roman" w:eastAsia="宋体" w:cs="Times New Roman"/>
                <w:color w:val="000000"/>
                <w:kern w:val="2"/>
                <w:sz w:val="22"/>
                <w:szCs w:val="24"/>
                <w:lang w:val="en-US" w:eastAsia="zh-CN" w:bidi="ar-SA"/>
              </w:rPr>
              <w:t>[1.09,1.37]</w:t>
            </w:r>
          </w:p>
        </w:tc>
      </w:tr>
    </w:tbl>
    <w:p w14:paraId="27877E57">
      <w:pPr>
        <w:widowControl w:val="0"/>
        <w:spacing w:line="360" w:lineRule="auto"/>
        <w:ind w:firstLine="560" w:firstLineChars="200"/>
        <w:jc w:val="both"/>
        <w:rPr>
          <w:rFonts w:hint="eastAsia" w:ascii="Calibri" w:hAnsi="Calibri" w:eastAsia="宋体" w:cs="Times New Roman"/>
          <w:kern w:val="2"/>
          <w:sz w:val="24"/>
          <w:szCs w:val="24"/>
          <w:lang w:val="en-US" w:eastAsia="zh-CN" w:bidi="ar-SA"/>
        </w:rPr>
      </w:pPr>
      <w:r>
        <w:rPr>
          <w:rFonts w:hint="eastAsia" w:ascii="宋体" w:hAnsi="宋体" w:eastAsia="宋体" w:cs="宋体"/>
          <w:kern w:val="0"/>
          <w:sz w:val="28"/>
          <w:szCs w:val="28"/>
          <w:lang w:val="en-US" w:eastAsia="zh-CN" w:bidi="ar-SA"/>
        </w:rPr>
        <w:t>相较于玻璃行业普遍认可的碳排放基准范围（</w:t>
      </w:r>
      <w:r>
        <w:rPr>
          <w:rFonts w:hint="default" w:ascii="宋体" w:hAnsi="宋体" w:eastAsia="宋体" w:cs="宋体"/>
          <w:kern w:val="0"/>
          <w:sz w:val="28"/>
          <w:szCs w:val="28"/>
          <w:lang w:val="en-US" w:eastAsia="zh-CN" w:bidi="ar-SA"/>
        </w:rPr>
        <w:t>3000 - 5000 kg/m³</w:t>
      </w:r>
      <w:r>
        <w:rPr>
          <w:rFonts w:hint="eastAsia" w:ascii="宋体" w:hAnsi="宋体" w:eastAsia="宋体" w:cs="宋体"/>
          <w:kern w:val="0"/>
          <w:sz w:val="28"/>
          <w:szCs w:val="28"/>
          <w:lang w:val="en-US" w:eastAsia="zh-CN" w:bidi="ar-SA"/>
        </w:rPr>
        <w:t>），我们本批次/当前生产的玻璃产品的实测碳排放因子（约4984.2</w:t>
      </w:r>
      <w:r>
        <w:rPr>
          <w:rFonts w:hint="default" w:ascii="宋体" w:hAnsi="宋体" w:eastAsia="宋体" w:cs="宋体"/>
          <w:kern w:val="0"/>
          <w:sz w:val="28"/>
          <w:szCs w:val="28"/>
          <w:lang w:val="en-US" w:eastAsia="zh-CN" w:bidi="ar-SA"/>
        </w:rPr>
        <w:t xml:space="preserve"> kg/m³</w:t>
      </w:r>
      <w:r>
        <w:rPr>
          <w:rFonts w:hint="eastAsia" w:ascii="宋体" w:hAnsi="宋体" w:eastAsia="宋体" w:cs="宋体"/>
          <w:kern w:val="0"/>
          <w:sz w:val="28"/>
          <w:szCs w:val="28"/>
          <w:lang w:val="en-US" w:eastAsia="zh-CN" w:bidi="ar-SA"/>
        </w:rPr>
        <w:t>），略低于行业范围值。这一结果主要归因于生产过程中能效提升、能源结构优化（如可能使用更多绿电）以及原料运输或配方的改进。总体表明当前生产碳排放表现良好，若进一步保证数据的准确性，则可进一步证实减排措施已初见成效</w:t>
      </w:r>
      <w:r>
        <w:rPr>
          <w:rFonts w:hint="eastAsia" w:ascii="Calibri" w:hAnsi="Calibri" w:eastAsia="宋体" w:cs="Times New Roman"/>
          <w:kern w:val="2"/>
          <w:sz w:val="24"/>
          <w:szCs w:val="24"/>
          <w:lang w:val="en-US" w:eastAsia="zh-CN" w:bidi="ar-SA"/>
        </w:rPr>
        <w:t>。</w:t>
      </w:r>
    </w:p>
    <w:p w14:paraId="6F104E6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黑体" w:hAnsi="Times New Roman" w:eastAsia="黑体" w:cs="Times New Roman"/>
          <w:b w:val="0"/>
          <w:bCs/>
          <w:w w:val="100"/>
          <w:sz w:val="32"/>
          <w:szCs w:val="32"/>
          <w:lang w:val="en-US" w:eastAsia="zh-CN" w:bidi="ar-SA"/>
        </w:rPr>
      </w:pPr>
      <w:r>
        <w:rPr>
          <w:rFonts w:hint="eastAsia" w:ascii="黑体" w:hAnsi="Times New Roman" w:eastAsia="黑体" w:cs="Times New Roman"/>
          <w:b w:val="0"/>
          <w:bCs/>
          <w:w w:val="100"/>
          <w:sz w:val="32"/>
          <w:szCs w:val="32"/>
          <w:lang w:val="en-US" w:eastAsia="zh-CN" w:bidi="ar-SA"/>
        </w:rPr>
        <w:t>6标准实施建议</w:t>
      </w:r>
    </w:p>
    <w:p w14:paraId="22088E57">
      <w:pPr>
        <w:widowControl w:val="0"/>
        <w:spacing w:line="360" w:lineRule="auto"/>
        <w:ind w:firstLine="560" w:firstLineChars="200"/>
        <w:jc w:val="both"/>
        <w:rPr>
          <w:rFonts w:hint="default" w:ascii="宋体" w:hAnsi="宋体" w:eastAsia="宋体" w:cs="宋体"/>
          <w:kern w:val="0"/>
          <w:sz w:val="28"/>
          <w:szCs w:val="28"/>
          <w:lang w:val="en-US" w:eastAsia="zh-CN" w:bidi="ar-SA"/>
        </w:rPr>
      </w:pPr>
      <w:r>
        <w:rPr>
          <w:rFonts w:hint="default" w:ascii="宋体" w:hAnsi="宋体" w:eastAsia="宋体" w:cs="宋体"/>
          <w:kern w:val="0"/>
          <w:sz w:val="28"/>
          <w:szCs w:val="28"/>
          <w:lang w:val="en-US" w:eastAsia="zh-CN" w:bidi="ar-SA"/>
        </w:rPr>
        <w:t>本标准作为重点产品碳足迹核算方法体系中的重要部分，为</w:t>
      </w:r>
      <w:r>
        <w:rPr>
          <w:rFonts w:hint="eastAsia" w:ascii="宋体" w:hAnsi="宋体" w:eastAsia="宋体" w:cs="宋体"/>
          <w:kern w:val="0"/>
          <w:sz w:val="28"/>
          <w:szCs w:val="28"/>
          <w:lang w:val="en-US" w:eastAsia="zh-CN" w:bidi="ar-SA"/>
        </w:rPr>
        <w:t>煤矸石制</w:t>
      </w:r>
      <w:r>
        <w:rPr>
          <w:rFonts w:hint="default" w:ascii="宋体" w:hAnsi="宋体" w:eastAsia="宋体" w:cs="宋体"/>
          <w:kern w:val="0"/>
          <w:sz w:val="28"/>
          <w:szCs w:val="28"/>
          <w:lang w:val="en-US" w:eastAsia="zh-CN" w:bidi="ar-SA"/>
        </w:rPr>
        <w:t>玻璃产品碳足迹量化提供了科学的核算方法，其结果可作为产品碳足迹绩效评价、企业温室气体减排持续改进和绿色供应链管理、产品碳足迹信息披露、环保信息公开等不同应用的依据。</w:t>
      </w:r>
    </w:p>
    <w:p w14:paraId="064488B8">
      <w:pPr>
        <w:widowControl w:val="0"/>
        <w:spacing w:line="360" w:lineRule="auto"/>
        <w:ind w:firstLine="560" w:firstLineChars="200"/>
        <w:jc w:val="both"/>
        <w:rPr>
          <w:rFonts w:hint="default" w:ascii="宋体" w:hAnsi="宋体" w:eastAsia="宋体" w:cs="宋体"/>
          <w:kern w:val="0"/>
          <w:sz w:val="28"/>
          <w:szCs w:val="28"/>
          <w:lang w:val="en-US" w:eastAsia="zh-CN" w:bidi="ar-SA"/>
        </w:rPr>
      </w:pPr>
      <w:r>
        <w:rPr>
          <w:rFonts w:hint="default" w:ascii="宋体" w:hAnsi="宋体" w:eastAsia="宋体" w:cs="宋体"/>
          <w:kern w:val="0"/>
          <w:sz w:val="28"/>
          <w:szCs w:val="28"/>
          <w:lang w:val="en-US" w:eastAsia="zh-CN" w:bidi="ar-SA"/>
        </w:rPr>
        <w:t>为了保证</w:t>
      </w:r>
      <w:r>
        <w:rPr>
          <w:rFonts w:hint="eastAsia" w:ascii="宋体" w:hAnsi="宋体" w:eastAsia="宋体" w:cs="宋体"/>
          <w:kern w:val="0"/>
          <w:sz w:val="28"/>
          <w:szCs w:val="28"/>
          <w:lang w:val="en-US" w:eastAsia="zh-CN" w:bidi="ar-SA"/>
        </w:rPr>
        <w:t>煤矸石制</w:t>
      </w:r>
      <w:r>
        <w:rPr>
          <w:rFonts w:hint="default" w:ascii="宋体" w:hAnsi="宋体" w:eastAsia="宋体" w:cs="宋体"/>
          <w:kern w:val="0"/>
          <w:sz w:val="28"/>
          <w:szCs w:val="28"/>
          <w:lang w:val="en-US" w:eastAsia="zh-CN" w:bidi="ar-SA"/>
        </w:rPr>
        <w:t>玻璃产品碳足迹核算的数据质量和动态更新，应建立健全</w:t>
      </w:r>
      <w:r>
        <w:rPr>
          <w:rFonts w:hint="eastAsia" w:ascii="宋体" w:hAnsi="宋体" w:eastAsia="宋体" w:cs="宋体"/>
          <w:kern w:val="0"/>
          <w:sz w:val="28"/>
          <w:szCs w:val="28"/>
          <w:lang w:val="en-US" w:eastAsia="zh-CN" w:bidi="ar-SA"/>
        </w:rPr>
        <w:t>其</w:t>
      </w:r>
      <w:r>
        <w:rPr>
          <w:rFonts w:hint="default" w:ascii="宋体" w:hAnsi="宋体" w:eastAsia="宋体" w:cs="宋体"/>
          <w:kern w:val="0"/>
          <w:sz w:val="28"/>
          <w:szCs w:val="28"/>
          <w:lang w:val="en-US" w:eastAsia="zh-CN" w:bidi="ar-SA"/>
        </w:rPr>
        <w:t>碳足迹模型和数据库，健全本地因子库，补充产业链不同阶段因子，形成统一的碳排放计算体系，以便更好地核算碳排放，同时也为产品碳足迹评价提供支持。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541D64"/>
    <w:multiLevelType w:val="multilevel"/>
    <w:tmpl w:val="7E541D64"/>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D70BC4"/>
    <w:rsid w:val="2CD70BC4"/>
    <w:rsid w:val="3FDB4638"/>
    <w:rsid w:val="4C8E7F88"/>
    <w:rsid w:val="6E7374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alloon Text"/>
    <w:basedOn w:val="1"/>
    <w:unhideWhenUsed/>
    <w:qFormat/>
    <w:uiPriority w:val="99"/>
    <w:rPr>
      <w:sz w:val="18"/>
      <w:szCs w:val="18"/>
    </w:rPr>
  </w:style>
  <w:style w:type="paragraph" w:styleId="3">
    <w:name w:val="Normal Indent"/>
    <w:basedOn w:val="1"/>
    <w:semiHidden/>
    <w:unhideWhenUsed/>
    <w:qFormat/>
    <w:uiPriority w:val="99"/>
    <w:pPr>
      <w:spacing w:line="300" w:lineRule="auto"/>
      <w:ind w:firstLine="420" w:firstLineChars="200"/>
    </w:pPr>
    <w:rPr>
      <w:rFonts w:ascii="Times New Roman"/>
      <w:szCs w:val="24"/>
    </w:rPr>
  </w:style>
  <w:style w:type="paragraph" w:styleId="4">
    <w:name w:val="Body Text"/>
    <w:basedOn w:val="1"/>
    <w:qFormat/>
    <w:uiPriority w:val="1"/>
    <w:pPr>
      <w:spacing w:before="144"/>
      <w:ind w:left="120" w:firstLine="419"/>
      <w:jc w:val="left"/>
    </w:pPr>
    <w:rPr>
      <w:rFonts w:ascii="宋体" w:hAnsi="宋体" w:cs="Times New Roman"/>
      <w:kern w:val="0"/>
      <w:sz w:val="24"/>
      <w:szCs w:val="24"/>
      <w:lang w:eastAsia="en-US"/>
    </w:rPr>
  </w:style>
  <w:style w:type="paragraph" w:styleId="5">
    <w:name w:val="Normal (Web)"/>
    <w:basedOn w:val="1"/>
    <w:qFormat/>
    <w:uiPriority w:val="0"/>
    <w:rPr>
      <w:sz w:val="24"/>
    </w:rPr>
  </w:style>
  <w:style w:type="table" w:styleId="7">
    <w:name w:val="Table Grid"/>
    <w:basedOn w:val="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_Style 13"/>
    <w:qFormat/>
    <w:uiPriority w:val="0"/>
    <w:pPr>
      <w:spacing w:before="120" w:after="120" w:line="288" w:lineRule="auto"/>
      <w:ind w:left="0"/>
      <w:jc w:val="left"/>
    </w:pPr>
    <w:rPr>
      <w:rFonts w:ascii="Arial" w:hAnsi="Arial" w:eastAsia="等线" w:cs="Arial"/>
      <w:sz w:val="22"/>
      <w:szCs w:val="22"/>
    </w:rPr>
  </w:style>
  <w:style w:type="character" w:customStyle="1" w:styleId="10">
    <w:name w:val="fontstyle01"/>
    <w:basedOn w:val="8"/>
    <w:qFormat/>
    <w:uiPriority w:val="0"/>
    <w:rPr>
      <w:rFonts w:hint="eastAsia" w:ascii="宋体" w:hAnsi="宋体" w:eastAsia="宋体"/>
      <w:color w:val="000000"/>
      <w:sz w:val="24"/>
      <w:szCs w:val="24"/>
    </w:rPr>
  </w:style>
  <w:style w:type="table" w:customStyle="1" w:styleId="11">
    <w:name w:val="清单表 6 彩色1"/>
    <w:basedOn w:val="6"/>
    <w:qFormat/>
    <w:uiPriority w:val="51"/>
    <w:rPr>
      <w:color w:val="000000"/>
    </w:rPr>
    <w:tblPr>
      <w:tblBorders>
        <w:top w:val="single" w:color="000000" w:sz="4" w:space="0"/>
        <w:bottom w:val="single" w:color="000000" w:sz="4" w:space="0"/>
      </w:tblBorders>
    </w:tblPr>
    <w:tblStylePr w:type="firstRow">
      <w:rPr>
        <w:b/>
        <w:bCs/>
      </w:rPr>
      <w:tcPr>
        <w:tcBorders>
          <w:top w:val="nil"/>
          <w:left w:val="single" w:color="000000" w:sz="4" w:space="0"/>
          <w:bottom w:val="nil"/>
          <w:right w:val="nil"/>
          <w:insideH w:val="nil"/>
          <w:insideV w:val="nil"/>
          <w:tl2br w:val="nil"/>
          <w:tr2bl w:val="nil"/>
        </w:tcBorders>
      </w:tcPr>
    </w:tblStylePr>
    <w:tblStylePr w:type="lastRow">
      <w:rPr>
        <w:b/>
        <w:bCs/>
      </w:rPr>
      <w:tcPr>
        <w:tcBorders>
          <w:top w:val="double" w:color="000000"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CCCCCC"/>
      </w:tcPr>
    </w:tblStylePr>
    <w:tblStylePr w:type="band1Horz">
      <w:tcPr>
        <w:shd w:val="clear" w:color="auto" w:fill="CCCCCC"/>
      </w:tcPr>
    </w:tblStyle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6687</Words>
  <Characters>7396</Characters>
  <Lines>0</Lines>
  <Paragraphs>0</Paragraphs>
  <TotalTime>1</TotalTime>
  <ScaleCrop>false</ScaleCrop>
  <LinksUpToDate>false</LinksUpToDate>
  <CharactersWithSpaces>7433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2026-02-09T02:23:00Z</dcterms:created>
  <dc:creator>！</dc:creator>
  <cp:lastModifiedBy>￡倚栏听风</cp:lastModifiedBy>
  <dcterms:modified xsi:type="dcterms:W3CDTF">2026-02-24T07:48:33Z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0661ACD016974175BD5091245529954D_13</vt:lpwstr>
  </property>
  <property fmtid="{D5CDD505-2E9C-101B-9397-08002B2CF9AE}" pid="4" name="KSOTemplateDocerSaveRecord">
    <vt:lpwstr>eyJoZGlkIjoiYzA4NmUyNjE3MDM3NWVjNDQzMjBiZDQ1YjA4ZWM3OTYiLCJ1c2VySWQiOiIxMDAzNjY1MTM5In0=</vt:lpwstr>
  </property>
</Properties>
</file>