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BF21D">
      <w:pPr>
        <w:pStyle w:val="12"/>
        <w:spacing w:line="360" w:lineRule="auto"/>
        <w:ind w:firstLine="0" w:firstLineChars="0"/>
        <w:jc w:val="center"/>
        <w:rPr>
          <w:rFonts w:hAnsi="Times New Roman" w:eastAsia="宋体" w:cs="Times New Roman"/>
          <w:bCs/>
          <w:sz w:val="32"/>
          <w:szCs w:val="32"/>
        </w:rPr>
      </w:pPr>
      <w:bookmarkStart w:id="95" w:name="_GoBack"/>
      <w:bookmarkEnd w:id="95"/>
      <w:r>
        <w:rPr>
          <w:rFonts w:hint="eastAsia" w:ascii="黑体" w:hAnsi="Times New Roman" w:eastAsia="黑体" w:cs="Times New Roman"/>
          <w:bCs/>
          <w:sz w:val="48"/>
          <w:szCs w:val="20"/>
        </w:rPr>
        <w:t>陕西省建筑材料联合会团体标准</w:t>
      </w:r>
    </w:p>
    <w:p w14:paraId="4B99B97B">
      <w:pPr>
        <w:pStyle w:val="23"/>
        <w:jc w:val="right"/>
        <w:rPr>
          <w:rFonts w:ascii="黑体" w:hAnsi="Times New Roman" w:eastAsia="黑体" w:cs="Times New Roman"/>
          <w:bCs/>
          <w:spacing w:val="0"/>
          <w:kern w:val="0"/>
          <w:sz w:val="28"/>
          <w:szCs w:val="28"/>
        </w:rPr>
      </w:pPr>
      <w:r>
        <w:rPr>
          <w:rFonts w:hint="eastAsia" w:ascii="黑体" w:hAnsi="Times New Roman" w:eastAsia="黑体" w:cs="Times New Roman"/>
          <w:bCs/>
          <w:spacing w:val="0"/>
          <w:kern w:val="0"/>
          <w:sz w:val="28"/>
          <w:szCs w:val="28"/>
        </w:rPr>
        <w:t>T/SXSJC002-2025</w:t>
      </w:r>
    </w:p>
    <w:p w14:paraId="3D58F8F9">
      <w:pPr>
        <w:pStyle w:val="23"/>
        <w:rPr>
          <w:rFonts w:ascii="宋体" w:hAnsi="宋体" w:eastAsia="宋体" w:cs="宋体"/>
          <w:b/>
          <w:bCs/>
          <w:spacing w:val="0"/>
          <w:kern w:val="2"/>
          <w:sz w:val="44"/>
          <w:szCs w:val="44"/>
        </w:rPr>
      </w:pPr>
    </w:p>
    <w:p w14:paraId="6151476E">
      <w:pPr>
        <w:pStyle w:val="23"/>
        <w:rPr>
          <w:rFonts w:hint="eastAsia" w:ascii="仿宋_GB2312" w:hAnsi="宋体" w:eastAsia="仿宋_GB2312" w:cs="宋体"/>
          <w:bCs/>
          <w:spacing w:val="0"/>
          <w:kern w:val="2"/>
          <w:sz w:val="48"/>
          <w:szCs w:val="44"/>
        </w:rPr>
      </w:pPr>
      <w:r>
        <w:rPr>
          <w:rFonts w:hint="eastAsia" w:ascii="仿宋_GB2312" w:hAnsi="宋体" w:eastAsia="仿宋_GB2312" w:cs="宋体"/>
          <w:bCs/>
          <w:spacing w:val="0"/>
          <w:kern w:val="2"/>
          <w:sz w:val="36"/>
          <w:szCs w:val="44"/>
        </w:rPr>
        <w:t>征求意见稿</w:t>
      </w:r>
    </w:p>
    <w:p w14:paraId="11BB7F33">
      <w:pPr>
        <w:pStyle w:val="57"/>
        <w:framePr w:h="2814" w:hRule="exact" w:x="1194" w:y="6388"/>
      </w:pPr>
      <w:r>
        <w:rPr>
          <w:rFonts w:hint="eastAsia"/>
        </w:rPr>
        <w:t>温室气体  产品碳足迹量化方法与要求</w:t>
      </w:r>
    </w:p>
    <w:p w14:paraId="6F852F2C">
      <w:pPr>
        <w:pStyle w:val="57"/>
        <w:framePr w:h="2814" w:hRule="exact" w:x="1194" w:y="6388"/>
      </w:pPr>
      <w:r>
        <w:rPr>
          <w:rFonts w:hint="eastAsia"/>
        </w:rPr>
        <w:t>煤矸石制微晶玻璃</w:t>
      </w:r>
    </w:p>
    <w:p w14:paraId="701AAB87">
      <w:pPr>
        <w:pStyle w:val="12"/>
        <w:widowControl/>
        <w:kinsoku w:val="0"/>
        <w:autoSpaceDE w:val="0"/>
        <w:autoSpaceDN w:val="0"/>
        <w:adjustRightInd w:val="0"/>
        <w:snapToGrid w:val="0"/>
        <w:spacing w:line="360" w:lineRule="auto"/>
        <w:ind w:firstLine="0" w:firstLineChars="0"/>
        <w:jc w:val="center"/>
        <w:textAlignment w:val="baseline"/>
        <w:rPr>
          <w:rFonts w:ascii="宋体" w:hAnsi="宋体" w:eastAsia="宋体" w:cs="宋体"/>
          <w:b/>
          <w:bCs/>
          <w:sz w:val="44"/>
          <w:szCs w:val="44"/>
        </w:rPr>
      </w:pPr>
    </w:p>
    <w:p w14:paraId="5EB3573F">
      <w:pPr>
        <w:pStyle w:val="12"/>
        <w:widowControl/>
        <w:kinsoku w:val="0"/>
        <w:autoSpaceDE w:val="0"/>
        <w:autoSpaceDN w:val="0"/>
        <w:adjustRightInd w:val="0"/>
        <w:snapToGrid w:val="0"/>
        <w:spacing w:line="360" w:lineRule="auto"/>
        <w:ind w:firstLine="0" w:firstLineChars="0"/>
        <w:jc w:val="center"/>
        <w:textAlignment w:val="baseline"/>
        <w:rPr>
          <w:rFonts w:ascii="宋体" w:hAnsi="宋体" w:eastAsia="宋体" w:cs="宋体"/>
          <w:b/>
          <w:bCs/>
          <w:sz w:val="44"/>
          <w:szCs w:val="44"/>
        </w:rPr>
      </w:pPr>
    </w:p>
    <w:p w14:paraId="17B989F3">
      <w:pPr>
        <w:pStyle w:val="12"/>
        <w:widowControl/>
        <w:kinsoku w:val="0"/>
        <w:autoSpaceDE w:val="0"/>
        <w:autoSpaceDN w:val="0"/>
        <w:adjustRightInd w:val="0"/>
        <w:snapToGrid w:val="0"/>
        <w:spacing w:line="360" w:lineRule="auto"/>
        <w:ind w:firstLine="0" w:firstLineChars="0"/>
        <w:textAlignment w:val="baseline"/>
        <w:rPr>
          <w:rFonts w:ascii="宋体" w:hAnsi="宋体" w:eastAsia="宋体" w:cs="宋体"/>
          <w:b/>
          <w:bCs/>
          <w:sz w:val="44"/>
          <w:szCs w:val="44"/>
        </w:rPr>
      </w:pPr>
    </w:p>
    <w:p w14:paraId="55FB64AA">
      <w:pPr>
        <w:pStyle w:val="12"/>
        <w:widowControl/>
        <w:kinsoku w:val="0"/>
        <w:autoSpaceDE w:val="0"/>
        <w:autoSpaceDN w:val="0"/>
        <w:adjustRightInd w:val="0"/>
        <w:snapToGrid w:val="0"/>
        <w:spacing w:line="360" w:lineRule="auto"/>
        <w:ind w:firstLine="0" w:firstLineChars="0"/>
        <w:textAlignment w:val="baseline"/>
        <w:rPr>
          <w:rFonts w:ascii="宋体" w:hAnsi="宋体" w:eastAsia="宋体" w:cs="宋体"/>
          <w:b/>
          <w:bCs/>
          <w:sz w:val="44"/>
          <w:szCs w:val="44"/>
        </w:rPr>
      </w:pPr>
    </w:p>
    <w:tbl>
      <w:tblPr>
        <w:tblStyle w:val="25"/>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261"/>
        <w:gridCol w:w="1110"/>
        <w:gridCol w:w="3151"/>
      </w:tblGrid>
      <w:tr w14:paraId="504F7E7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261" w:type="dxa"/>
            <w:tcBorders>
              <w:tl2br w:val="nil"/>
              <w:tr2bl w:val="nil"/>
            </w:tcBorders>
          </w:tcPr>
          <w:p w14:paraId="4D78711B">
            <w:pPr>
              <w:snapToGrid w:val="0"/>
              <w:spacing w:line="360" w:lineRule="auto"/>
              <w:jc w:val="center"/>
              <w:rPr>
                <w:rFonts w:asciiTheme="minorEastAsia" w:hAnsiTheme="minorEastAsia" w:cstheme="minorEastAsia"/>
                <w:szCs w:val="21"/>
              </w:rPr>
            </w:pPr>
            <w:r>
              <w:rPr>
                <w:rFonts w:ascii="Times New Roman" w:hAnsi="Times New Roman" w:eastAsia="宋体" w:cs="Times New Roman"/>
                <w:bCs/>
                <w:sz w:val="30"/>
                <w:szCs w:val="30"/>
              </w:rPr>
              <w:t>20xx-xx-xx 发布</w:t>
            </w:r>
          </w:p>
        </w:tc>
        <w:tc>
          <w:tcPr>
            <w:tcW w:w="4261" w:type="dxa"/>
            <w:gridSpan w:val="2"/>
            <w:tcBorders>
              <w:tl2br w:val="nil"/>
              <w:tr2bl w:val="nil"/>
            </w:tcBorders>
          </w:tcPr>
          <w:p w14:paraId="49E744C6">
            <w:pPr>
              <w:snapToGrid w:val="0"/>
              <w:spacing w:line="360" w:lineRule="auto"/>
              <w:jc w:val="center"/>
              <w:rPr>
                <w:rFonts w:asciiTheme="minorEastAsia" w:hAnsiTheme="minorEastAsia" w:cstheme="minorEastAsia"/>
                <w:szCs w:val="21"/>
              </w:rPr>
            </w:pPr>
            <w:r>
              <w:rPr>
                <w:rFonts w:ascii="Times New Roman" w:hAnsi="Times New Roman" w:eastAsia="宋体" w:cs="Times New Roman"/>
                <w:bCs/>
                <w:sz w:val="30"/>
                <w:szCs w:val="30"/>
              </w:rPr>
              <w:t>20xx-xx-xx 实施</w:t>
            </w:r>
          </w:p>
        </w:tc>
      </w:tr>
      <w:tr w14:paraId="028F6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71" w:type="dxa"/>
            <w:gridSpan w:val="2"/>
            <w:tcBorders>
              <w:tl2br w:val="nil"/>
              <w:tr2bl w:val="nil"/>
            </w:tcBorders>
          </w:tcPr>
          <w:p w14:paraId="3F604C4D">
            <w:pPr>
              <w:rPr>
                <w:rFonts w:ascii="Times New Roman" w:hAnsi="Times New Roman" w:eastAsia="宋体" w:cs="Times New Roman"/>
                <w:bCs/>
                <w:sz w:val="30"/>
                <w:szCs w:val="30"/>
              </w:rPr>
            </w:pPr>
            <w:r>
              <w:rPr>
                <w:rFonts w:hint="eastAsia" w:ascii="Times New Roman" w:hAnsi="Times New Roman" w:eastAsia="黑体" w:cs="Times New Roman"/>
                <w:bCs/>
                <w:sz w:val="30"/>
                <w:szCs w:val="30"/>
              </w:rPr>
              <w:t>陕西建材科技集团股份有限公司</w:t>
            </w:r>
            <w:r>
              <w:rPr>
                <w:rFonts w:ascii="Times New Roman" w:hAnsi="Times New Roman" w:eastAsia="黑体" w:cs="Times New Roman"/>
                <w:bCs/>
                <w:sz w:val="30"/>
                <w:szCs w:val="30"/>
              </w:rPr>
              <w:t xml:space="preserve"> </w:t>
            </w:r>
          </w:p>
        </w:tc>
        <w:tc>
          <w:tcPr>
            <w:tcW w:w="3151" w:type="dxa"/>
            <w:vMerge w:val="restart"/>
            <w:tcBorders>
              <w:tl2br w:val="nil"/>
              <w:tr2bl w:val="nil"/>
            </w:tcBorders>
            <w:vAlign w:val="center"/>
          </w:tcPr>
          <w:p w14:paraId="711110E1">
            <w:pPr>
              <w:jc w:val="center"/>
              <w:rPr>
                <w:rFonts w:ascii="Times New Roman" w:hAnsi="Times New Roman" w:eastAsia="宋体" w:cs="Times New Roman"/>
                <w:bCs/>
                <w:sz w:val="30"/>
                <w:szCs w:val="30"/>
              </w:rPr>
            </w:pPr>
            <w:r>
              <w:rPr>
                <w:rFonts w:ascii="Times New Roman" w:hAnsi="Times New Roman" w:eastAsia="黑体" w:cs="Times New Roman"/>
                <w:bCs/>
                <w:sz w:val="30"/>
                <w:szCs w:val="30"/>
              </w:rPr>
              <w:t>联合</w:t>
            </w:r>
            <w:r>
              <w:rPr>
                <w:rFonts w:hint="eastAsia" w:ascii="Times New Roman" w:hAnsi="Times New Roman" w:eastAsia="黑体" w:cs="Times New Roman"/>
                <w:bCs/>
                <w:sz w:val="30"/>
                <w:szCs w:val="30"/>
              </w:rPr>
              <w:t>编制</w:t>
            </w:r>
          </w:p>
        </w:tc>
      </w:tr>
      <w:tr w14:paraId="4C3A4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71" w:type="dxa"/>
            <w:gridSpan w:val="2"/>
            <w:tcBorders>
              <w:tl2br w:val="nil"/>
              <w:tr2bl w:val="nil"/>
            </w:tcBorders>
          </w:tcPr>
          <w:p w14:paraId="3837E8AB">
            <w:pPr>
              <w:rPr>
                <w:rFonts w:ascii="Times New Roman" w:hAnsi="Times New Roman" w:eastAsia="黑体" w:cs="Times New Roman"/>
                <w:bCs/>
                <w:sz w:val="30"/>
                <w:szCs w:val="30"/>
              </w:rPr>
            </w:pPr>
            <w:r>
              <w:rPr>
                <w:rFonts w:hint="eastAsia" w:ascii="Times New Roman" w:hAnsi="Times New Roman" w:eastAsia="黑体" w:cs="Times New Roman"/>
                <w:bCs/>
                <w:sz w:val="30"/>
                <w:szCs w:val="30"/>
              </w:rPr>
              <w:t>陕西生态龙门绿碳产业有限公司</w:t>
            </w:r>
          </w:p>
          <w:p w14:paraId="5CFE584D">
            <w:pPr>
              <w:rPr>
                <w:rFonts w:ascii="Times New Roman" w:hAnsi="Times New Roman" w:eastAsia="黑体" w:cs="Times New Roman"/>
                <w:bCs/>
                <w:sz w:val="30"/>
                <w:szCs w:val="30"/>
              </w:rPr>
            </w:pPr>
            <w:r>
              <w:rPr>
                <w:rFonts w:hint="eastAsia" w:ascii="Times New Roman" w:hAnsi="Times New Roman" w:eastAsia="黑体" w:cs="Times New Roman"/>
                <w:bCs/>
                <w:sz w:val="30"/>
                <w:szCs w:val="30"/>
              </w:rPr>
              <w:t>西安建筑科技大学</w:t>
            </w:r>
          </w:p>
          <w:p w14:paraId="4A4A1A3E">
            <w:pPr>
              <w:rPr>
                <w:rFonts w:ascii="Times New Roman" w:hAnsi="Times New Roman" w:eastAsia="黑体" w:cs="Times New Roman"/>
                <w:bCs/>
                <w:sz w:val="30"/>
                <w:szCs w:val="30"/>
              </w:rPr>
            </w:pPr>
            <w:r>
              <w:rPr>
                <w:rFonts w:hint="eastAsia" w:ascii="Times New Roman" w:hAnsi="Times New Roman" w:eastAsia="黑体" w:cs="Times New Roman"/>
                <w:bCs/>
                <w:sz w:val="30"/>
                <w:szCs w:val="30"/>
              </w:rPr>
              <w:t>西安建筑科技大学研究总院有限公司</w:t>
            </w:r>
            <w:r>
              <w:rPr>
                <w:rFonts w:hint="eastAsia" w:ascii="Times New Roman" w:hAnsi="Times New Roman" w:eastAsia="黑体" w:cs="Times New Roman"/>
                <w:bCs/>
                <w:sz w:val="30"/>
                <w:szCs w:val="30"/>
              </w:rPr>
              <w:br w:type="textWrapping"/>
            </w:r>
            <w:r>
              <w:rPr>
                <w:rFonts w:hint="eastAsia" w:ascii="Times New Roman" w:hAnsi="Times New Roman" w:eastAsia="黑体" w:cs="Times New Roman"/>
                <w:bCs/>
                <w:sz w:val="30"/>
                <w:szCs w:val="30"/>
              </w:rPr>
              <w:t>陕西省建筑科学研究院有限公司</w:t>
            </w:r>
          </w:p>
        </w:tc>
        <w:tc>
          <w:tcPr>
            <w:tcW w:w="3151" w:type="dxa"/>
            <w:vMerge w:val="continue"/>
            <w:tcBorders>
              <w:tl2br w:val="nil"/>
              <w:tr2bl w:val="nil"/>
            </w:tcBorders>
          </w:tcPr>
          <w:p w14:paraId="5890FCA0">
            <w:pPr>
              <w:rPr>
                <w:rFonts w:ascii="Times New Roman" w:hAnsi="Times New Roman" w:eastAsia="宋体" w:cs="Times New Roman"/>
                <w:bCs/>
                <w:sz w:val="30"/>
                <w:szCs w:val="30"/>
              </w:rPr>
            </w:pPr>
          </w:p>
        </w:tc>
      </w:tr>
    </w:tbl>
    <w:p w14:paraId="230418BE">
      <w:pPr>
        <w:jc w:val="center"/>
        <w:rPr>
          <w:sz w:val="28"/>
          <w:szCs w:val="28"/>
        </w:rPr>
      </w:pPr>
      <w:bookmarkStart w:id="0" w:name="_Toc17308"/>
      <w:r>
        <w:rPr>
          <w:rFonts w:ascii="宋体" w:hAnsi="宋体" w:eastAsia="宋体"/>
          <w:sz w:val="28"/>
          <w:szCs w:val="28"/>
        </w:rPr>
        <w:t>目</w:t>
      </w:r>
      <w:r>
        <w:rPr>
          <w:rFonts w:hint="eastAsia" w:ascii="宋体" w:hAnsi="宋体" w:eastAsia="宋体"/>
          <w:sz w:val="28"/>
          <w:szCs w:val="28"/>
        </w:rPr>
        <w:t xml:space="preserve"> </w:t>
      </w:r>
      <w:r>
        <w:rPr>
          <w:rFonts w:ascii="宋体" w:hAnsi="宋体" w:eastAsia="宋体"/>
          <w:sz w:val="28"/>
          <w:szCs w:val="28"/>
        </w:rPr>
        <w:t>录</w:t>
      </w:r>
    </w:p>
    <w:p w14:paraId="3A0F70D2">
      <w:pPr>
        <w:pStyle w:val="19"/>
        <w:tabs>
          <w:tab w:val="right" w:leader="dot" w:pos="8306"/>
        </w:tabs>
      </w:pPr>
      <w:r>
        <w:fldChar w:fldCharType="begin"/>
      </w:r>
      <w:r>
        <w:instrText xml:space="preserve">TOC \o "1-3" \h \u </w:instrText>
      </w:r>
      <w:r>
        <w:fldChar w:fldCharType="separate"/>
      </w:r>
      <w:r>
        <w:fldChar w:fldCharType="begin"/>
      </w:r>
      <w:r>
        <w:instrText xml:space="preserve"> HYPERLINK \l "_Toc7039" </w:instrText>
      </w:r>
      <w:r>
        <w:fldChar w:fldCharType="separate"/>
      </w:r>
      <w:r>
        <w:rPr>
          <w:rFonts w:hint="eastAsia" w:ascii="宋体" w:hAnsi="宋体" w:eastAsia="宋体" w:cs="宋体"/>
          <w:bCs/>
          <w:szCs w:val="21"/>
        </w:rPr>
        <w:t>1范围</w:t>
      </w:r>
      <w:r>
        <w:tab/>
      </w:r>
      <w:r>
        <w:fldChar w:fldCharType="begin"/>
      </w:r>
      <w:r>
        <w:instrText xml:space="preserve"> PAGEREF _Toc7039 \h </w:instrText>
      </w:r>
      <w:r>
        <w:fldChar w:fldCharType="separate"/>
      </w:r>
      <w:r>
        <w:t>6</w:t>
      </w:r>
      <w:r>
        <w:fldChar w:fldCharType="end"/>
      </w:r>
      <w:r>
        <w:fldChar w:fldCharType="end"/>
      </w:r>
    </w:p>
    <w:p w14:paraId="26B5967A">
      <w:pPr>
        <w:pStyle w:val="19"/>
        <w:tabs>
          <w:tab w:val="right" w:leader="dot" w:pos="8306"/>
        </w:tabs>
      </w:pPr>
      <w:r>
        <w:fldChar w:fldCharType="begin"/>
      </w:r>
      <w:r>
        <w:instrText xml:space="preserve"> HYPERLINK \l "_Toc25281" </w:instrText>
      </w:r>
      <w:r>
        <w:fldChar w:fldCharType="separate"/>
      </w:r>
      <w:r>
        <w:rPr>
          <w:rFonts w:ascii="宋体" w:hAnsi="宋体" w:eastAsia="宋体" w:cs="宋体"/>
          <w:bCs/>
          <w:szCs w:val="21"/>
        </w:rPr>
        <w:t>2 规范性引用文件</w:t>
      </w:r>
      <w:r>
        <w:tab/>
      </w:r>
      <w:r>
        <w:fldChar w:fldCharType="begin"/>
      </w:r>
      <w:r>
        <w:instrText xml:space="preserve"> PAGEREF _Toc25281 \h </w:instrText>
      </w:r>
      <w:r>
        <w:fldChar w:fldCharType="separate"/>
      </w:r>
      <w:r>
        <w:t>6</w:t>
      </w:r>
      <w:r>
        <w:fldChar w:fldCharType="end"/>
      </w:r>
      <w:r>
        <w:fldChar w:fldCharType="end"/>
      </w:r>
    </w:p>
    <w:p w14:paraId="3952E39B">
      <w:pPr>
        <w:pStyle w:val="19"/>
        <w:tabs>
          <w:tab w:val="right" w:leader="dot" w:pos="8306"/>
        </w:tabs>
      </w:pPr>
      <w:r>
        <w:fldChar w:fldCharType="begin"/>
      </w:r>
      <w:r>
        <w:instrText xml:space="preserve"> HYPERLINK \l "_Toc6748" </w:instrText>
      </w:r>
      <w:r>
        <w:fldChar w:fldCharType="separate"/>
      </w:r>
      <w:r>
        <w:rPr>
          <w:rFonts w:ascii="宋体" w:hAnsi="宋体" w:eastAsia="宋体" w:cs="宋体"/>
          <w:bCs/>
          <w:szCs w:val="21"/>
        </w:rPr>
        <w:t>3 术语和定义</w:t>
      </w:r>
      <w:r>
        <w:tab/>
      </w:r>
      <w:r>
        <w:fldChar w:fldCharType="begin"/>
      </w:r>
      <w:r>
        <w:instrText xml:space="preserve"> PAGEREF _Toc6748 \h </w:instrText>
      </w:r>
      <w:r>
        <w:fldChar w:fldCharType="separate"/>
      </w:r>
      <w:r>
        <w:t>6</w:t>
      </w:r>
      <w:r>
        <w:fldChar w:fldCharType="end"/>
      </w:r>
      <w:r>
        <w:fldChar w:fldCharType="end"/>
      </w:r>
    </w:p>
    <w:p w14:paraId="2D050E5D">
      <w:pPr>
        <w:pStyle w:val="19"/>
        <w:tabs>
          <w:tab w:val="right" w:leader="dot" w:pos="8306"/>
        </w:tabs>
      </w:pPr>
      <w:r>
        <w:fldChar w:fldCharType="begin"/>
      </w:r>
      <w:r>
        <w:instrText xml:space="preserve"> HYPERLINK \l "_Toc26709" </w:instrText>
      </w:r>
      <w:r>
        <w:fldChar w:fldCharType="separate"/>
      </w:r>
      <w:r>
        <w:rPr>
          <w:rFonts w:ascii="宋体" w:hAnsi="宋体" w:eastAsia="宋体" w:cs="宋体"/>
          <w:bCs/>
          <w:szCs w:val="21"/>
        </w:rPr>
        <w:t xml:space="preserve">4 </w:t>
      </w:r>
      <w:r>
        <w:rPr>
          <w:rFonts w:hint="eastAsia" w:ascii="宋体" w:hAnsi="宋体" w:eastAsia="宋体" w:cs="宋体"/>
          <w:bCs/>
          <w:szCs w:val="21"/>
        </w:rPr>
        <w:t>基本</w:t>
      </w:r>
      <w:r>
        <w:rPr>
          <w:rFonts w:ascii="宋体" w:hAnsi="宋体" w:eastAsia="宋体" w:cs="宋体"/>
          <w:bCs/>
          <w:szCs w:val="21"/>
        </w:rPr>
        <w:t>原则</w:t>
      </w:r>
      <w:r>
        <w:tab/>
      </w:r>
      <w:r>
        <w:fldChar w:fldCharType="begin"/>
      </w:r>
      <w:r>
        <w:instrText xml:space="preserve"> PAGEREF _Toc26709 \h </w:instrText>
      </w:r>
      <w:r>
        <w:fldChar w:fldCharType="separate"/>
      </w:r>
      <w:r>
        <w:t>8</w:t>
      </w:r>
      <w:r>
        <w:fldChar w:fldCharType="end"/>
      </w:r>
      <w:r>
        <w:fldChar w:fldCharType="end"/>
      </w:r>
    </w:p>
    <w:p w14:paraId="175B5234">
      <w:pPr>
        <w:pStyle w:val="21"/>
        <w:tabs>
          <w:tab w:val="right" w:leader="dot" w:pos="8306"/>
        </w:tabs>
      </w:pPr>
      <w:r>
        <w:fldChar w:fldCharType="begin"/>
      </w:r>
      <w:r>
        <w:instrText xml:space="preserve"> HYPERLINK \l "_Toc2369" </w:instrText>
      </w:r>
      <w:r>
        <w:fldChar w:fldCharType="separate"/>
      </w:r>
      <w:r>
        <w:rPr>
          <w:rFonts w:hint="eastAsia" w:ascii="宋体" w:hAnsi="宋体" w:eastAsia="宋体" w:cs="宋体"/>
          <w:bCs/>
          <w:szCs w:val="21"/>
        </w:rPr>
        <w:t>4.1 相关性</w:t>
      </w:r>
      <w:r>
        <w:tab/>
      </w:r>
      <w:r>
        <w:fldChar w:fldCharType="begin"/>
      </w:r>
      <w:r>
        <w:instrText xml:space="preserve"> PAGEREF _Toc2369 \h </w:instrText>
      </w:r>
      <w:r>
        <w:fldChar w:fldCharType="separate"/>
      </w:r>
      <w:r>
        <w:t>8</w:t>
      </w:r>
      <w:r>
        <w:fldChar w:fldCharType="end"/>
      </w:r>
      <w:r>
        <w:fldChar w:fldCharType="end"/>
      </w:r>
    </w:p>
    <w:p w14:paraId="212DFF25">
      <w:pPr>
        <w:pStyle w:val="21"/>
        <w:tabs>
          <w:tab w:val="right" w:leader="dot" w:pos="8306"/>
        </w:tabs>
      </w:pPr>
      <w:r>
        <w:fldChar w:fldCharType="begin"/>
      </w:r>
      <w:r>
        <w:instrText xml:space="preserve"> HYPERLINK \l "_Toc2665" </w:instrText>
      </w:r>
      <w:r>
        <w:fldChar w:fldCharType="separate"/>
      </w:r>
      <w:r>
        <w:rPr>
          <w:rFonts w:ascii="宋体" w:hAnsi="宋体" w:eastAsia="宋体" w:cs="宋体"/>
          <w:bCs/>
          <w:szCs w:val="21"/>
        </w:rPr>
        <w:t>4.2 完整性</w:t>
      </w:r>
      <w:r>
        <w:tab/>
      </w:r>
      <w:r>
        <w:fldChar w:fldCharType="begin"/>
      </w:r>
      <w:r>
        <w:instrText xml:space="preserve"> PAGEREF _Toc2665 \h </w:instrText>
      </w:r>
      <w:r>
        <w:fldChar w:fldCharType="separate"/>
      </w:r>
      <w:r>
        <w:t>8</w:t>
      </w:r>
      <w:r>
        <w:fldChar w:fldCharType="end"/>
      </w:r>
      <w:r>
        <w:fldChar w:fldCharType="end"/>
      </w:r>
    </w:p>
    <w:p w14:paraId="48985440">
      <w:pPr>
        <w:pStyle w:val="21"/>
        <w:tabs>
          <w:tab w:val="right" w:leader="dot" w:pos="8306"/>
        </w:tabs>
      </w:pPr>
      <w:r>
        <w:fldChar w:fldCharType="begin"/>
      </w:r>
      <w:r>
        <w:instrText xml:space="preserve"> HYPERLINK \l "_Toc3547" </w:instrText>
      </w:r>
      <w:r>
        <w:fldChar w:fldCharType="separate"/>
      </w:r>
      <w:r>
        <w:rPr>
          <w:rFonts w:ascii="宋体" w:hAnsi="宋体" w:eastAsia="宋体" w:cs="宋体"/>
          <w:bCs/>
          <w:szCs w:val="21"/>
        </w:rPr>
        <w:t>4.3 一致性</w:t>
      </w:r>
      <w:r>
        <w:tab/>
      </w:r>
      <w:r>
        <w:fldChar w:fldCharType="begin"/>
      </w:r>
      <w:r>
        <w:instrText xml:space="preserve"> PAGEREF _Toc3547 \h </w:instrText>
      </w:r>
      <w:r>
        <w:fldChar w:fldCharType="separate"/>
      </w:r>
      <w:r>
        <w:t>8</w:t>
      </w:r>
      <w:r>
        <w:fldChar w:fldCharType="end"/>
      </w:r>
      <w:r>
        <w:fldChar w:fldCharType="end"/>
      </w:r>
    </w:p>
    <w:p w14:paraId="08F98076">
      <w:pPr>
        <w:pStyle w:val="21"/>
        <w:tabs>
          <w:tab w:val="right" w:leader="dot" w:pos="8306"/>
        </w:tabs>
      </w:pPr>
      <w:r>
        <w:fldChar w:fldCharType="begin"/>
      </w:r>
      <w:r>
        <w:instrText xml:space="preserve"> HYPERLINK \l "_Toc5817" </w:instrText>
      </w:r>
      <w:r>
        <w:fldChar w:fldCharType="separate"/>
      </w:r>
      <w:r>
        <w:rPr>
          <w:rFonts w:ascii="宋体" w:hAnsi="宋体" w:eastAsia="宋体" w:cs="宋体"/>
          <w:bCs/>
          <w:szCs w:val="21"/>
        </w:rPr>
        <w:t>4.4 统一性</w:t>
      </w:r>
      <w:r>
        <w:tab/>
      </w:r>
      <w:r>
        <w:fldChar w:fldCharType="begin"/>
      </w:r>
      <w:r>
        <w:instrText xml:space="preserve"> PAGEREF _Toc5817 \h </w:instrText>
      </w:r>
      <w:r>
        <w:fldChar w:fldCharType="separate"/>
      </w:r>
      <w:r>
        <w:t>8</w:t>
      </w:r>
      <w:r>
        <w:fldChar w:fldCharType="end"/>
      </w:r>
      <w:r>
        <w:fldChar w:fldCharType="end"/>
      </w:r>
    </w:p>
    <w:p w14:paraId="06635629">
      <w:pPr>
        <w:pStyle w:val="21"/>
        <w:tabs>
          <w:tab w:val="right" w:leader="dot" w:pos="8306"/>
        </w:tabs>
      </w:pPr>
      <w:r>
        <w:fldChar w:fldCharType="begin"/>
      </w:r>
      <w:r>
        <w:instrText xml:space="preserve"> HYPERLINK \l "_Toc2736" </w:instrText>
      </w:r>
      <w:r>
        <w:fldChar w:fldCharType="separate"/>
      </w:r>
      <w:r>
        <w:rPr>
          <w:rFonts w:ascii="宋体" w:hAnsi="宋体" w:eastAsia="宋体" w:cs="宋体"/>
          <w:bCs/>
          <w:szCs w:val="21"/>
        </w:rPr>
        <w:t>4.5 准确性</w:t>
      </w:r>
      <w:r>
        <w:tab/>
      </w:r>
      <w:r>
        <w:fldChar w:fldCharType="begin"/>
      </w:r>
      <w:r>
        <w:instrText xml:space="preserve"> PAGEREF _Toc2736 \h </w:instrText>
      </w:r>
      <w:r>
        <w:fldChar w:fldCharType="separate"/>
      </w:r>
      <w:r>
        <w:t>8</w:t>
      </w:r>
      <w:r>
        <w:fldChar w:fldCharType="end"/>
      </w:r>
      <w:r>
        <w:fldChar w:fldCharType="end"/>
      </w:r>
    </w:p>
    <w:p w14:paraId="4EF1CA97">
      <w:pPr>
        <w:pStyle w:val="21"/>
        <w:tabs>
          <w:tab w:val="right" w:leader="dot" w:pos="8306"/>
        </w:tabs>
      </w:pPr>
      <w:r>
        <w:fldChar w:fldCharType="begin"/>
      </w:r>
      <w:r>
        <w:instrText xml:space="preserve"> HYPERLINK \l "_Toc27268" </w:instrText>
      </w:r>
      <w:r>
        <w:fldChar w:fldCharType="separate"/>
      </w:r>
      <w:r>
        <w:rPr>
          <w:rFonts w:ascii="宋体" w:hAnsi="宋体" w:eastAsia="宋体" w:cs="宋体"/>
          <w:bCs/>
          <w:szCs w:val="21"/>
        </w:rPr>
        <w:t>4.6 透明性</w:t>
      </w:r>
      <w:r>
        <w:tab/>
      </w:r>
      <w:r>
        <w:fldChar w:fldCharType="begin"/>
      </w:r>
      <w:r>
        <w:instrText xml:space="preserve"> PAGEREF _Toc27268 \h </w:instrText>
      </w:r>
      <w:r>
        <w:fldChar w:fldCharType="separate"/>
      </w:r>
      <w:r>
        <w:t>8</w:t>
      </w:r>
      <w:r>
        <w:fldChar w:fldCharType="end"/>
      </w:r>
      <w:r>
        <w:fldChar w:fldCharType="end"/>
      </w:r>
    </w:p>
    <w:p w14:paraId="5C16B0F2">
      <w:pPr>
        <w:pStyle w:val="21"/>
        <w:tabs>
          <w:tab w:val="right" w:leader="dot" w:pos="8306"/>
        </w:tabs>
      </w:pPr>
      <w:r>
        <w:fldChar w:fldCharType="begin"/>
      </w:r>
      <w:r>
        <w:instrText xml:space="preserve"> HYPERLINK \l "_Toc8596" </w:instrText>
      </w:r>
      <w:r>
        <w:fldChar w:fldCharType="separate"/>
      </w:r>
      <w:r>
        <w:rPr>
          <w:rFonts w:ascii="宋体" w:hAnsi="宋体" w:eastAsia="宋体" w:cs="宋体"/>
          <w:bCs/>
          <w:szCs w:val="21"/>
        </w:rPr>
        <w:t>4.7 避免重复计算</w:t>
      </w:r>
      <w:r>
        <w:tab/>
      </w:r>
      <w:r>
        <w:fldChar w:fldCharType="begin"/>
      </w:r>
      <w:r>
        <w:instrText xml:space="preserve"> PAGEREF _Toc8596 \h </w:instrText>
      </w:r>
      <w:r>
        <w:fldChar w:fldCharType="separate"/>
      </w:r>
      <w:r>
        <w:t>8</w:t>
      </w:r>
      <w:r>
        <w:fldChar w:fldCharType="end"/>
      </w:r>
      <w:r>
        <w:fldChar w:fldCharType="end"/>
      </w:r>
    </w:p>
    <w:p w14:paraId="62AAE218">
      <w:pPr>
        <w:pStyle w:val="19"/>
        <w:tabs>
          <w:tab w:val="right" w:leader="dot" w:pos="8306"/>
        </w:tabs>
      </w:pPr>
      <w:r>
        <w:fldChar w:fldCharType="begin"/>
      </w:r>
      <w:r>
        <w:instrText xml:space="preserve"> HYPERLINK \l "_Toc7087" </w:instrText>
      </w:r>
      <w:r>
        <w:fldChar w:fldCharType="separate"/>
      </w:r>
      <w:r>
        <w:rPr>
          <w:rFonts w:ascii="宋体" w:hAnsi="宋体" w:eastAsia="宋体" w:cs="宋体"/>
          <w:bCs/>
          <w:szCs w:val="21"/>
        </w:rPr>
        <w:t xml:space="preserve">5 </w:t>
      </w:r>
      <w:r>
        <w:rPr>
          <w:rFonts w:hint="eastAsia" w:ascii="宋体" w:hAnsi="宋体" w:eastAsia="宋体" w:cs="宋体"/>
          <w:bCs/>
          <w:szCs w:val="21"/>
        </w:rPr>
        <w:t>量化目的</w:t>
      </w:r>
      <w:r>
        <w:tab/>
      </w:r>
      <w:r>
        <w:fldChar w:fldCharType="begin"/>
      </w:r>
      <w:r>
        <w:instrText xml:space="preserve"> PAGEREF _Toc7087 \h </w:instrText>
      </w:r>
      <w:r>
        <w:fldChar w:fldCharType="separate"/>
      </w:r>
      <w:r>
        <w:t>8</w:t>
      </w:r>
      <w:r>
        <w:fldChar w:fldCharType="end"/>
      </w:r>
      <w:r>
        <w:fldChar w:fldCharType="end"/>
      </w:r>
    </w:p>
    <w:p w14:paraId="4D0C7AC6">
      <w:pPr>
        <w:pStyle w:val="19"/>
        <w:tabs>
          <w:tab w:val="right" w:leader="dot" w:pos="8306"/>
        </w:tabs>
      </w:pPr>
      <w:r>
        <w:fldChar w:fldCharType="begin"/>
      </w:r>
      <w:r>
        <w:instrText xml:space="preserve"> HYPERLINK \l "_Toc9898" </w:instrText>
      </w:r>
      <w:r>
        <w:fldChar w:fldCharType="separate"/>
      </w:r>
      <w:r>
        <w:rPr>
          <w:rFonts w:hint="eastAsia" w:ascii="宋体" w:hAnsi="宋体" w:eastAsia="宋体" w:cs="宋体"/>
          <w:bCs/>
          <w:szCs w:val="21"/>
        </w:rPr>
        <w:t>6 量化</w:t>
      </w:r>
      <w:r>
        <w:rPr>
          <w:rFonts w:ascii="宋体" w:hAnsi="宋体" w:eastAsia="宋体" w:cs="宋体"/>
          <w:bCs/>
          <w:szCs w:val="21"/>
        </w:rPr>
        <w:t>范围</w:t>
      </w:r>
      <w:r>
        <w:tab/>
      </w:r>
      <w:r>
        <w:fldChar w:fldCharType="begin"/>
      </w:r>
      <w:r>
        <w:instrText xml:space="preserve"> PAGEREF _Toc9898 \h </w:instrText>
      </w:r>
      <w:r>
        <w:fldChar w:fldCharType="separate"/>
      </w:r>
      <w:r>
        <w:t>8</w:t>
      </w:r>
      <w:r>
        <w:fldChar w:fldCharType="end"/>
      </w:r>
      <w:r>
        <w:fldChar w:fldCharType="end"/>
      </w:r>
    </w:p>
    <w:p w14:paraId="72E1BB05">
      <w:pPr>
        <w:pStyle w:val="21"/>
        <w:tabs>
          <w:tab w:val="right" w:leader="dot" w:pos="8306"/>
        </w:tabs>
      </w:pPr>
      <w:r>
        <w:fldChar w:fldCharType="begin"/>
      </w:r>
      <w:r>
        <w:instrText xml:space="preserve"> HYPERLINK \l "_Toc21572" </w:instrText>
      </w:r>
      <w:r>
        <w:fldChar w:fldCharType="separate"/>
      </w:r>
      <w:r>
        <w:rPr>
          <w:rFonts w:hint="eastAsia" w:ascii="宋体" w:hAnsi="宋体" w:eastAsia="宋体" w:cs="宋体"/>
          <w:bCs/>
          <w:szCs w:val="21"/>
        </w:rPr>
        <w:t>6.1产品描述</w:t>
      </w:r>
      <w:r>
        <w:tab/>
      </w:r>
      <w:r>
        <w:fldChar w:fldCharType="begin"/>
      </w:r>
      <w:r>
        <w:instrText xml:space="preserve"> PAGEREF _Toc21572 \h </w:instrText>
      </w:r>
      <w:r>
        <w:fldChar w:fldCharType="separate"/>
      </w:r>
      <w:r>
        <w:t>8</w:t>
      </w:r>
      <w:r>
        <w:fldChar w:fldCharType="end"/>
      </w:r>
      <w:r>
        <w:fldChar w:fldCharType="end"/>
      </w:r>
    </w:p>
    <w:p w14:paraId="6017A474">
      <w:pPr>
        <w:pStyle w:val="21"/>
        <w:tabs>
          <w:tab w:val="right" w:leader="dot" w:pos="8306"/>
        </w:tabs>
      </w:pPr>
      <w:r>
        <w:fldChar w:fldCharType="begin"/>
      </w:r>
      <w:r>
        <w:instrText xml:space="preserve"> HYPERLINK \l "_Toc28801" </w:instrText>
      </w:r>
      <w:r>
        <w:fldChar w:fldCharType="separate"/>
      </w:r>
      <w:r>
        <w:rPr>
          <w:rFonts w:hint="eastAsia" w:ascii="宋体" w:hAnsi="宋体" w:eastAsia="宋体" w:cs="宋体"/>
          <w:bCs/>
          <w:szCs w:val="21"/>
        </w:rPr>
        <w:t>6.2</w:t>
      </w:r>
      <w:r>
        <w:rPr>
          <w:rFonts w:ascii="宋体" w:hAnsi="宋体" w:eastAsia="宋体" w:cs="宋体"/>
          <w:bCs/>
          <w:szCs w:val="21"/>
        </w:rPr>
        <w:t xml:space="preserve"> 功能单位</w:t>
      </w:r>
      <w:r>
        <w:rPr>
          <w:rFonts w:hint="eastAsia" w:ascii="宋体" w:hAnsi="宋体" w:eastAsia="宋体" w:cs="宋体"/>
          <w:bCs/>
          <w:szCs w:val="21"/>
        </w:rPr>
        <w:t>或声明单位</w:t>
      </w:r>
      <w:r>
        <w:tab/>
      </w:r>
      <w:r>
        <w:fldChar w:fldCharType="begin"/>
      </w:r>
      <w:r>
        <w:instrText xml:space="preserve"> PAGEREF _Toc28801 \h </w:instrText>
      </w:r>
      <w:r>
        <w:fldChar w:fldCharType="separate"/>
      </w:r>
      <w:r>
        <w:t>8</w:t>
      </w:r>
      <w:r>
        <w:fldChar w:fldCharType="end"/>
      </w:r>
      <w:r>
        <w:fldChar w:fldCharType="end"/>
      </w:r>
    </w:p>
    <w:p w14:paraId="60319B19">
      <w:pPr>
        <w:pStyle w:val="21"/>
        <w:tabs>
          <w:tab w:val="right" w:leader="dot" w:pos="8306"/>
        </w:tabs>
      </w:pPr>
      <w:r>
        <w:fldChar w:fldCharType="begin"/>
      </w:r>
      <w:r>
        <w:instrText xml:space="preserve"> HYPERLINK \l "_Toc15002" </w:instrText>
      </w:r>
      <w:r>
        <w:fldChar w:fldCharType="separate"/>
      </w:r>
      <w:r>
        <w:rPr>
          <w:rFonts w:hint="eastAsia" w:ascii="宋体" w:hAnsi="宋体" w:eastAsia="宋体" w:cs="宋体"/>
          <w:bCs/>
          <w:szCs w:val="21"/>
        </w:rPr>
        <w:t>6.3</w:t>
      </w:r>
      <w:r>
        <w:rPr>
          <w:rFonts w:ascii="宋体" w:hAnsi="宋体" w:eastAsia="宋体" w:cs="宋体"/>
          <w:bCs/>
          <w:szCs w:val="21"/>
        </w:rPr>
        <w:t xml:space="preserve"> 系统边界 </w:t>
      </w:r>
      <w:r>
        <w:tab/>
      </w:r>
      <w:r>
        <w:fldChar w:fldCharType="begin"/>
      </w:r>
      <w:r>
        <w:instrText xml:space="preserve"> PAGEREF _Toc15002 \h </w:instrText>
      </w:r>
      <w:r>
        <w:fldChar w:fldCharType="separate"/>
      </w:r>
      <w:r>
        <w:t>9</w:t>
      </w:r>
      <w:r>
        <w:fldChar w:fldCharType="end"/>
      </w:r>
      <w:r>
        <w:fldChar w:fldCharType="end"/>
      </w:r>
    </w:p>
    <w:p w14:paraId="66E5BCE7">
      <w:pPr>
        <w:pStyle w:val="19"/>
        <w:tabs>
          <w:tab w:val="right" w:leader="dot" w:pos="8306"/>
        </w:tabs>
      </w:pPr>
      <w:r>
        <w:fldChar w:fldCharType="begin"/>
      </w:r>
      <w:r>
        <w:instrText xml:space="preserve"> HYPERLINK \l "_Toc5648" </w:instrText>
      </w:r>
      <w:r>
        <w:fldChar w:fldCharType="separate"/>
      </w:r>
      <w:r>
        <w:rPr>
          <w:rFonts w:hint="eastAsia" w:ascii="宋体" w:hAnsi="宋体" w:eastAsia="宋体" w:cs="宋体"/>
          <w:bCs/>
          <w:szCs w:val="21"/>
        </w:rPr>
        <w:t>7数据和数据质量</w:t>
      </w:r>
      <w:r>
        <w:tab/>
      </w:r>
      <w:r>
        <w:fldChar w:fldCharType="begin"/>
      </w:r>
      <w:r>
        <w:instrText xml:space="preserve"> PAGEREF _Toc5648 \h </w:instrText>
      </w:r>
      <w:r>
        <w:fldChar w:fldCharType="separate"/>
      </w:r>
      <w:r>
        <w:t>10</w:t>
      </w:r>
      <w:r>
        <w:fldChar w:fldCharType="end"/>
      </w:r>
      <w:r>
        <w:fldChar w:fldCharType="end"/>
      </w:r>
    </w:p>
    <w:p w14:paraId="018D4693">
      <w:pPr>
        <w:pStyle w:val="21"/>
        <w:tabs>
          <w:tab w:val="right" w:leader="dot" w:pos="8306"/>
        </w:tabs>
      </w:pPr>
      <w:r>
        <w:fldChar w:fldCharType="begin"/>
      </w:r>
      <w:r>
        <w:instrText xml:space="preserve"> HYPERLINK \l "_Toc21468" </w:instrText>
      </w:r>
      <w:r>
        <w:fldChar w:fldCharType="separate"/>
      </w:r>
      <w:r>
        <w:rPr>
          <w:rFonts w:hint="eastAsia" w:ascii="宋体" w:hAnsi="宋体" w:eastAsia="宋体" w:cs="宋体"/>
          <w:bCs/>
          <w:szCs w:val="21"/>
        </w:rPr>
        <w:t>7.1数据描述</w:t>
      </w:r>
      <w:r>
        <w:tab/>
      </w:r>
      <w:r>
        <w:fldChar w:fldCharType="begin"/>
      </w:r>
      <w:r>
        <w:instrText xml:space="preserve"> PAGEREF _Toc21468 \h </w:instrText>
      </w:r>
      <w:r>
        <w:fldChar w:fldCharType="separate"/>
      </w:r>
      <w:r>
        <w:t>10</w:t>
      </w:r>
      <w:r>
        <w:fldChar w:fldCharType="end"/>
      </w:r>
      <w:r>
        <w:fldChar w:fldCharType="end"/>
      </w:r>
    </w:p>
    <w:p w14:paraId="3739FE90">
      <w:pPr>
        <w:pStyle w:val="21"/>
        <w:tabs>
          <w:tab w:val="right" w:leader="dot" w:pos="8306"/>
        </w:tabs>
      </w:pPr>
      <w:r>
        <w:fldChar w:fldCharType="begin"/>
      </w:r>
      <w:r>
        <w:instrText xml:space="preserve"> HYPERLINK \l "_Toc29085" </w:instrText>
      </w:r>
      <w:r>
        <w:fldChar w:fldCharType="separate"/>
      </w:r>
      <w:r>
        <w:rPr>
          <w:rFonts w:hint="eastAsia" w:ascii="宋体" w:hAnsi="宋体" w:eastAsia="宋体" w:cs="宋体"/>
          <w:bCs/>
          <w:szCs w:val="21"/>
        </w:rPr>
        <w:t>7.2收集质量要求</w:t>
      </w:r>
      <w:r>
        <w:tab/>
      </w:r>
      <w:r>
        <w:fldChar w:fldCharType="begin"/>
      </w:r>
      <w:r>
        <w:instrText xml:space="preserve"> PAGEREF _Toc29085 \h </w:instrText>
      </w:r>
      <w:r>
        <w:fldChar w:fldCharType="separate"/>
      </w:r>
      <w:r>
        <w:t>12</w:t>
      </w:r>
      <w:r>
        <w:fldChar w:fldCharType="end"/>
      </w:r>
      <w:r>
        <w:fldChar w:fldCharType="end"/>
      </w:r>
    </w:p>
    <w:p w14:paraId="2E1D7632">
      <w:pPr>
        <w:pStyle w:val="21"/>
        <w:tabs>
          <w:tab w:val="right" w:leader="dot" w:pos="8306"/>
        </w:tabs>
      </w:pPr>
      <w:r>
        <w:fldChar w:fldCharType="begin"/>
      </w:r>
      <w:r>
        <w:instrText xml:space="preserve"> HYPERLINK \l "_Toc31706" </w:instrText>
      </w:r>
      <w:r>
        <w:fldChar w:fldCharType="separate"/>
      </w:r>
      <w:r>
        <w:rPr>
          <w:rFonts w:hint="eastAsia" w:ascii="宋体" w:hAnsi="宋体" w:eastAsia="宋体" w:cs="宋体"/>
          <w:bCs/>
          <w:szCs w:val="21"/>
        </w:rPr>
        <w:t>7.3数据质量评估</w:t>
      </w:r>
      <w:r>
        <w:tab/>
      </w:r>
      <w:r>
        <w:fldChar w:fldCharType="begin"/>
      </w:r>
      <w:r>
        <w:instrText xml:space="preserve"> PAGEREF _Toc31706 \h </w:instrText>
      </w:r>
      <w:r>
        <w:fldChar w:fldCharType="separate"/>
      </w:r>
      <w:r>
        <w:t>12</w:t>
      </w:r>
      <w:r>
        <w:fldChar w:fldCharType="end"/>
      </w:r>
      <w:r>
        <w:fldChar w:fldCharType="end"/>
      </w:r>
    </w:p>
    <w:p w14:paraId="7F126E4C">
      <w:pPr>
        <w:pStyle w:val="19"/>
        <w:tabs>
          <w:tab w:val="right" w:leader="dot" w:pos="8306"/>
        </w:tabs>
      </w:pPr>
      <w:r>
        <w:fldChar w:fldCharType="begin"/>
      </w:r>
      <w:r>
        <w:instrText xml:space="preserve"> HYPERLINK \l "_Toc14293" </w:instrText>
      </w:r>
      <w:r>
        <w:fldChar w:fldCharType="separate"/>
      </w:r>
      <w:r>
        <w:rPr>
          <w:rFonts w:hint="eastAsia" w:ascii="宋体" w:hAnsi="宋体" w:eastAsia="宋体" w:cs="宋体"/>
          <w:bCs/>
          <w:szCs w:val="21"/>
        </w:rPr>
        <w:t>8. 生命周期清单分析</w:t>
      </w:r>
      <w:r>
        <w:tab/>
      </w:r>
      <w:r>
        <w:fldChar w:fldCharType="begin"/>
      </w:r>
      <w:r>
        <w:instrText xml:space="preserve"> PAGEREF _Toc14293 \h </w:instrText>
      </w:r>
      <w:r>
        <w:fldChar w:fldCharType="separate"/>
      </w:r>
      <w:r>
        <w:t>13</w:t>
      </w:r>
      <w:r>
        <w:fldChar w:fldCharType="end"/>
      </w:r>
      <w:r>
        <w:fldChar w:fldCharType="end"/>
      </w:r>
    </w:p>
    <w:p w14:paraId="2F6F6F54">
      <w:pPr>
        <w:pStyle w:val="21"/>
        <w:tabs>
          <w:tab w:val="right" w:leader="dot" w:pos="8306"/>
        </w:tabs>
      </w:pPr>
      <w:r>
        <w:fldChar w:fldCharType="begin"/>
      </w:r>
      <w:r>
        <w:instrText xml:space="preserve"> HYPERLINK \l "_Toc9281" </w:instrText>
      </w:r>
      <w:r>
        <w:fldChar w:fldCharType="separate"/>
      </w:r>
      <w:r>
        <w:rPr>
          <w:rFonts w:hint="eastAsia" w:ascii="宋体" w:hAnsi="宋体" w:eastAsia="宋体" w:cs="宋体"/>
          <w:bCs/>
          <w:szCs w:val="21"/>
        </w:rPr>
        <w:t>8.1数据收集</w:t>
      </w:r>
      <w:r>
        <w:tab/>
      </w:r>
      <w:r>
        <w:fldChar w:fldCharType="begin"/>
      </w:r>
      <w:r>
        <w:instrText xml:space="preserve"> PAGEREF _Toc9281 \h </w:instrText>
      </w:r>
      <w:r>
        <w:fldChar w:fldCharType="separate"/>
      </w:r>
      <w:r>
        <w:t>13</w:t>
      </w:r>
      <w:r>
        <w:fldChar w:fldCharType="end"/>
      </w:r>
      <w:r>
        <w:fldChar w:fldCharType="end"/>
      </w:r>
    </w:p>
    <w:p w14:paraId="0E0F99B3">
      <w:pPr>
        <w:pStyle w:val="21"/>
        <w:tabs>
          <w:tab w:val="right" w:leader="dot" w:pos="8306"/>
        </w:tabs>
      </w:pPr>
      <w:r>
        <w:fldChar w:fldCharType="begin"/>
      </w:r>
      <w:r>
        <w:instrText xml:space="preserve"> HYPERLINK \l "_Toc11417" </w:instrText>
      </w:r>
      <w:r>
        <w:fldChar w:fldCharType="separate"/>
      </w:r>
      <w:r>
        <w:rPr>
          <w:rFonts w:hint="eastAsia" w:ascii="宋体" w:hAnsi="宋体" w:eastAsia="宋体" w:cs="宋体"/>
          <w:bCs/>
          <w:szCs w:val="21"/>
        </w:rPr>
        <w:t>8.3 数据分配</w:t>
      </w:r>
      <w:r>
        <w:tab/>
      </w:r>
      <w:r>
        <w:fldChar w:fldCharType="begin"/>
      </w:r>
      <w:r>
        <w:instrText xml:space="preserve"> PAGEREF _Toc11417 \h </w:instrText>
      </w:r>
      <w:r>
        <w:fldChar w:fldCharType="separate"/>
      </w:r>
      <w:r>
        <w:t>13</w:t>
      </w:r>
      <w:r>
        <w:fldChar w:fldCharType="end"/>
      </w:r>
      <w:r>
        <w:fldChar w:fldCharType="end"/>
      </w:r>
    </w:p>
    <w:p w14:paraId="77E6B6D0">
      <w:pPr>
        <w:pStyle w:val="21"/>
        <w:tabs>
          <w:tab w:val="right" w:leader="dot" w:pos="8306"/>
        </w:tabs>
      </w:pPr>
      <w:r>
        <w:fldChar w:fldCharType="begin"/>
      </w:r>
      <w:r>
        <w:instrText xml:space="preserve"> HYPERLINK \l "_Toc24235" </w:instrText>
      </w:r>
      <w:r>
        <w:fldChar w:fldCharType="separate"/>
      </w:r>
      <w:r>
        <w:rPr>
          <w:rFonts w:hint="eastAsia" w:ascii="宋体" w:hAnsi="宋体" w:eastAsia="宋体" w:cs="宋体"/>
          <w:bCs/>
          <w:szCs w:val="21"/>
        </w:rPr>
        <w:t>8.4数据取舍原则</w:t>
      </w:r>
      <w:r>
        <w:tab/>
      </w:r>
      <w:r>
        <w:fldChar w:fldCharType="begin"/>
      </w:r>
      <w:r>
        <w:instrText xml:space="preserve"> PAGEREF _Toc24235 \h </w:instrText>
      </w:r>
      <w:r>
        <w:fldChar w:fldCharType="separate"/>
      </w:r>
      <w:r>
        <w:t>13</w:t>
      </w:r>
      <w:r>
        <w:fldChar w:fldCharType="end"/>
      </w:r>
      <w:r>
        <w:fldChar w:fldCharType="end"/>
      </w:r>
    </w:p>
    <w:p w14:paraId="7DE0C8AE">
      <w:pPr>
        <w:pStyle w:val="21"/>
        <w:tabs>
          <w:tab w:val="right" w:leader="dot" w:pos="8306"/>
        </w:tabs>
      </w:pPr>
      <w:r>
        <w:fldChar w:fldCharType="begin"/>
      </w:r>
      <w:r>
        <w:instrText xml:space="preserve"> HYPERLINK \l "_Toc2900" </w:instrText>
      </w:r>
      <w:r>
        <w:fldChar w:fldCharType="separate"/>
      </w:r>
      <w:r>
        <w:rPr>
          <w:rFonts w:hint="eastAsia" w:ascii="宋体" w:hAnsi="宋体" w:eastAsia="宋体" w:cs="宋体"/>
          <w:bCs/>
          <w:szCs w:val="21"/>
        </w:rPr>
        <w:t>8.5清单计算</w:t>
      </w:r>
      <w:r>
        <w:tab/>
      </w:r>
      <w:r>
        <w:fldChar w:fldCharType="begin"/>
      </w:r>
      <w:r>
        <w:instrText xml:space="preserve"> PAGEREF _Toc2900 \h </w:instrText>
      </w:r>
      <w:r>
        <w:fldChar w:fldCharType="separate"/>
      </w:r>
      <w:r>
        <w:t>14</w:t>
      </w:r>
      <w:r>
        <w:fldChar w:fldCharType="end"/>
      </w:r>
      <w:r>
        <w:fldChar w:fldCharType="end"/>
      </w:r>
    </w:p>
    <w:p w14:paraId="62D789F8">
      <w:pPr>
        <w:pStyle w:val="19"/>
        <w:tabs>
          <w:tab w:val="right" w:leader="dot" w:pos="8306"/>
        </w:tabs>
      </w:pPr>
      <w:r>
        <w:fldChar w:fldCharType="begin"/>
      </w:r>
      <w:r>
        <w:instrText xml:space="preserve"> HYPERLINK \l "_Toc4141" </w:instrText>
      </w:r>
      <w:r>
        <w:fldChar w:fldCharType="separate"/>
      </w:r>
      <w:r>
        <w:rPr>
          <w:rFonts w:hint="eastAsia" w:ascii="宋体" w:hAnsi="宋体" w:eastAsia="宋体" w:cs="宋体"/>
          <w:bCs/>
          <w:szCs w:val="21"/>
        </w:rPr>
        <w:t>9 影响评价</w:t>
      </w:r>
      <w:r>
        <w:tab/>
      </w:r>
      <w:r>
        <w:fldChar w:fldCharType="begin"/>
      </w:r>
      <w:r>
        <w:instrText xml:space="preserve"> PAGEREF _Toc4141 \h </w:instrText>
      </w:r>
      <w:r>
        <w:fldChar w:fldCharType="separate"/>
      </w:r>
      <w:r>
        <w:t>14</w:t>
      </w:r>
      <w:r>
        <w:fldChar w:fldCharType="end"/>
      </w:r>
      <w:r>
        <w:fldChar w:fldCharType="end"/>
      </w:r>
    </w:p>
    <w:p w14:paraId="749805C5">
      <w:pPr>
        <w:pStyle w:val="21"/>
        <w:tabs>
          <w:tab w:val="right" w:leader="dot" w:pos="8306"/>
        </w:tabs>
      </w:pPr>
      <w:r>
        <w:fldChar w:fldCharType="begin"/>
      </w:r>
      <w:r>
        <w:instrText xml:space="preserve"> HYPERLINK \l "_Toc9937" </w:instrText>
      </w:r>
      <w:r>
        <w:fldChar w:fldCharType="separate"/>
      </w:r>
      <w:r>
        <w:rPr>
          <w:rFonts w:hint="eastAsia" w:ascii="宋体" w:hAnsi="宋体" w:eastAsia="宋体" w:cs="宋体"/>
          <w:bCs/>
          <w:szCs w:val="21"/>
        </w:rPr>
        <w:t>9.1生产单元过程</w:t>
      </w:r>
      <w:r>
        <w:tab/>
      </w:r>
      <w:r>
        <w:fldChar w:fldCharType="begin"/>
      </w:r>
      <w:r>
        <w:instrText xml:space="preserve"> PAGEREF _Toc9937 \h </w:instrText>
      </w:r>
      <w:r>
        <w:fldChar w:fldCharType="separate"/>
      </w:r>
      <w:r>
        <w:t>14</w:t>
      </w:r>
      <w:r>
        <w:fldChar w:fldCharType="end"/>
      </w:r>
      <w:r>
        <w:fldChar w:fldCharType="end"/>
      </w:r>
    </w:p>
    <w:p w14:paraId="58B48C61">
      <w:pPr>
        <w:pStyle w:val="21"/>
        <w:tabs>
          <w:tab w:val="right" w:leader="dot" w:pos="8306"/>
        </w:tabs>
      </w:pPr>
      <w:r>
        <w:fldChar w:fldCharType="begin"/>
      </w:r>
      <w:r>
        <w:instrText xml:space="preserve"> HYPERLINK \l "_Toc25161" </w:instrText>
      </w:r>
      <w:r>
        <w:fldChar w:fldCharType="separate"/>
      </w:r>
      <w:r>
        <w:rPr>
          <w:rFonts w:hint="eastAsia" w:ascii="宋体" w:hAnsi="宋体" w:eastAsia="宋体" w:cs="宋体"/>
          <w:bCs/>
          <w:szCs w:val="21"/>
        </w:rPr>
        <w:t>9.2 原材料获取阶段的温室气体排放量</w:t>
      </w:r>
      <w:r>
        <w:tab/>
      </w:r>
      <w:r>
        <w:fldChar w:fldCharType="begin"/>
      </w:r>
      <w:r>
        <w:instrText xml:space="preserve"> PAGEREF _Toc25161 \h </w:instrText>
      </w:r>
      <w:r>
        <w:fldChar w:fldCharType="separate"/>
      </w:r>
      <w:r>
        <w:t>15</w:t>
      </w:r>
      <w:r>
        <w:fldChar w:fldCharType="end"/>
      </w:r>
      <w:r>
        <w:fldChar w:fldCharType="end"/>
      </w:r>
    </w:p>
    <w:p w14:paraId="695B2F84">
      <w:pPr>
        <w:pStyle w:val="21"/>
        <w:tabs>
          <w:tab w:val="right" w:leader="dot" w:pos="8306"/>
        </w:tabs>
      </w:pPr>
      <w:r>
        <w:fldChar w:fldCharType="begin"/>
      </w:r>
      <w:r>
        <w:instrText xml:space="preserve"> HYPERLINK \l "_Toc9447" </w:instrText>
      </w:r>
      <w:r>
        <w:fldChar w:fldCharType="separate"/>
      </w:r>
      <w:r>
        <w:rPr>
          <w:rFonts w:hint="eastAsia" w:ascii="宋体" w:hAnsi="宋体" w:eastAsia="宋体" w:cs="宋体"/>
          <w:bCs/>
          <w:szCs w:val="21"/>
        </w:rPr>
        <w:t>9.3 煤矸石制微晶玻璃生产阶段的温室气体排放量</w:t>
      </w:r>
      <w:r>
        <w:tab/>
      </w:r>
      <w:r>
        <w:fldChar w:fldCharType="begin"/>
      </w:r>
      <w:r>
        <w:instrText xml:space="preserve"> PAGEREF _Toc9447 \h </w:instrText>
      </w:r>
      <w:r>
        <w:fldChar w:fldCharType="separate"/>
      </w:r>
      <w:r>
        <w:t>15</w:t>
      </w:r>
      <w:r>
        <w:fldChar w:fldCharType="end"/>
      </w:r>
      <w:r>
        <w:fldChar w:fldCharType="end"/>
      </w:r>
    </w:p>
    <w:p w14:paraId="6B4E421D">
      <w:pPr>
        <w:pStyle w:val="21"/>
        <w:tabs>
          <w:tab w:val="right" w:leader="dot" w:pos="8306"/>
        </w:tabs>
      </w:pPr>
      <w:r>
        <w:fldChar w:fldCharType="begin"/>
      </w:r>
      <w:r>
        <w:instrText xml:space="preserve"> HYPERLINK \l "_Toc25706" </w:instrText>
      </w:r>
      <w:r>
        <w:fldChar w:fldCharType="separate"/>
      </w:r>
      <w:r>
        <w:rPr>
          <w:rFonts w:hint="eastAsia" w:ascii="宋体" w:hAnsi="宋体" w:eastAsia="宋体" w:cs="宋体"/>
          <w:bCs/>
          <w:szCs w:val="21"/>
        </w:rPr>
        <w:t>9.4煤矸石制微晶玻璃运输阶段的温室气体排放量</w:t>
      </w:r>
      <w:r>
        <w:tab/>
      </w:r>
      <w:r>
        <w:fldChar w:fldCharType="begin"/>
      </w:r>
      <w:r>
        <w:instrText xml:space="preserve"> PAGEREF _Toc25706 \h </w:instrText>
      </w:r>
      <w:r>
        <w:fldChar w:fldCharType="separate"/>
      </w:r>
      <w:r>
        <w:t>16</w:t>
      </w:r>
      <w:r>
        <w:fldChar w:fldCharType="end"/>
      </w:r>
      <w:r>
        <w:fldChar w:fldCharType="end"/>
      </w:r>
    </w:p>
    <w:p w14:paraId="0FB74960">
      <w:pPr>
        <w:pStyle w:val="21"/>
        <w:tabs>
          <w:tab w:val="right" w:leader="dot" w:pos="8306"/>
        </w:tabs>
      </w:pPr>
      <w:r>
        <w:fldChar w:fldCharType="begin"/>
      </w:r>
      <w:r>
        <w:instrText xml:space="preserve"> HYPERLINK \l "_Toc7294" </w:instrText>
      </w:r>
      <w:r>
        <w:fldChar w:fldCharType="separate"/>
      </w:r>
      <w:r>
        <w:rPr>
          <w:rFonts w:hint="eastAsia" w:ascii="宋体" w:hAnsi="宋体" w:eastAsia="宋体" w:cs="宋体"/>
          <w:bCs/>
          <w:szCs w:val="21"/>
        </w:rPr>
        <w:t>9.5使用阶段</w:t>
      </w:r>
      <w:r>
        <w:tab/>
      </w:r>
      <w:r>
        <w:fldChar w:fldCharType="begin"/>
      </w:r>
      <w:r>
        <w:instrText xml:space="preserve"> PAGEREF _Toc7294 \h </w:instrText>
      </w:r>
      <w:r>
        <w:fldChar w:fldCharType="separate"/>
      </w:r>
      <w:r>
        <w:t>16</w:t>
      </w:r>
      <w:r>
        <w:fldChar w:fldCharType="end"/>
      </w:r>
      <w:r>
        <w:fldChar w:fldCharType="end"/>
      </w:r>
    </w:p>
    <w:p w14:paraId="70FB9544">
      <w:pPr>
        <w:pStyle w:val="21"/>
        <w:tabs>
          <w:tab w:val="right" w:leader="dot" w:pos="8306"/>
        </w:tabs>
      </w:pPr>
      <w:r>
        <w:fldChar w:fldCharType="begin"/>
      </w:r>
      <w:r>
        <w:instrText xml:space="preserve"> HYPERLINK \l "_Toc10841" </w:instrText>
      </w:r>
      <w:r>
        <w:fldChar w:fldCharType="separate"/>
      </w:r>
      <w:r>
        <w:rPr>
          <w:rFonts w:hint="eastAsia" w:ascii="宋体" w:hAnsi="宋体" w:eastAsia="宋体" w:cs="宋体"/>
          <w:bCs/>
          <w:szCs w:val="21"/>
        </w:rPr>
        <w:t>9.6生命末期阶段</w:t>
      </w:r>
      <w:r>
        <w:tab/>
      </w:r>
      <w:r>
        <w:fldChar w:fldCharType="begin"/>
      </w:r>
      <w:r>
        <w:instrText xml:space="preserve"> PAGEREF _Toc10841 \h </w:instrText>
      </w:r>
      <w:r>
        <w:fldChar w:fldCharType="separate"/>
      </w:r>
      <w:r>
        <w:t>17</w:t>
      </w:r>
      <w:r>
        <w:fldChar w:fldCharType="end"/>
      </w:r>
      <w:r>
        <w:fldChar w:fldCharType="end"/>
      </w:r>
    </w:p>
    <w:p w14:paraId="6F1E83BB">
      <w:pPr>
        <w:pStyle w:val="21"/>
        <w:tabs>
          <w:tab w:val="right" w:leader="dot" w:pos="8306"/>
        </w:tabs>
      </w:pPr>
      <w:r>
        <w:fldChar w:fldCharType="begin"/>
      </w:r>
      <w:r>
        <w:instrText xml:space="preserve"> HYPERLINK \l "_Toc20661" </w:instrText>
      </w:r>
      <w:r>
        <w:fldChar w:fldCharType="separate"/>
      </w:r>
      <w:r>
        <w:rPr>
          <w:rFonts w:hint="eastAsia" w:ascii="宋体" w:hAnsi="宋体" w:eastAsia="宋体" w:cs="宋体"/>
          <w:bCs/>
          <w:szCs w:val="21"/>
        </w:rPr>
        <w:t>9.7 通则</w:t>
      </w:r>
      <w:r>
        <w:tab/>
      </w:r>
      <w:r>
        <w:fldChar w:fldCharType="begin"/>
      </w:r>
      <w:r>
        <w:instrText xml:space="preserve"> PAGEREF _Toc20661 \h </w:instrText>
      </w:r>
      <w:r>
        <w:fldChar w:fldCharType="separate"/>
      </w:r>
      <w:r>
        <w:t>17</w:t>
      </w:r>
      <w:r>
        <w:fldChar w:fldCharType="end"/>
      </w:r>
      <w:r>
        <w:fldChar w:fldCharType="end"/>
      </w:r>
    </w:p>
    <w:p w14:paraId="4C49204A">
      <w:pPr>
        <w:pStyle w:val="19"/>
        <w:tabs>
          <w:tab w:val="right" w:leader="dot" w:pos="8306"/>
        </w:tabs>
      </w:pPr>
      <w:r>
        <w:fldChar w:fldCharType="begin"/>
      </w:r>
      <w:r>
        <w:instrText xml:space="preserve"> HYPERLINK \l "_Toc22349" </w:instrText>
      </w:r>
      <w:r>
        <w:fldChar w:fldCharType="separate"/>
      </w:r>
      <w:r>
        <w:rPr>
          <w:rFonts w:hint="eastAsia" w:ascii="宋体" w:hAnsi="宋体" w:eastAsia="宋体" w:cs="宋体"/>
          <w:bCs/>
          <w:szCs w:val="21"/>
        </w:rPr>
        <w:t>10.结果解释</w:t>
      </w:r>
      <w:r>
        <w:tab/>
      </w:r>
      <w:r>
        <w:fldChar w:fldCharType="begin"/>
      </w:r>
      <w:r>
        <w:instrText xml:space="preserve"> PAGEREF _Toc22349 \h </w:instrText>
      </w:r>
      <w:r>
        <w:fldChar w:fldCharType="separate"/>
      </w:r>
      <w:r>
        <w:t>17</w:t>
      </w:r>
      <w:r>
        <w:fldChar w:fldCharType="end"/>
      </w:r>
      <w:r>
        <w:fldChar w:fldCharType="end"/>
      </w:r>
    </w:p>
    <w:p w14:paraId="2B2068FE">
      <w:pPr>
        <w:pStyle w:val="21"/>
        <w:tabs>
          <w:tab w:val="right" w:leader="dot" w:pos="8306"/>
        </w:tabs>
      </w:pPr>
      <w:r>
        <w:fldChar w:fldCharType="begin"/>
      </w:r>
      <w:r>
        <w:instrText xml:space="preserve"> HYPERLINK \l "_Toc23085" </w:instrText>
      </w:r>
      <w:r>
        <w:fldChar w:fldCharType="separate"/>
      </w:r>
      <w:r>
        <w:rPr>
          <w:rFonts w:hint="eastAsia" w:ascii="宋体" w:hAnsi="宋体" w:eastAsia="宋体" w:cs="宋体"/>
          <w:bCs/>
          <w:szCs w:val="21"/>
        </w:rPr>
        <w:t>10.1 解释步骤</w:t>
      </w:r>
      <w:r>
        <w:tab/>
      </w:r>
      <w:r>
        <w:fldChar w:fldCharType="begin"/>
      </w:r>
      <w:r>
        <w:instrText xml:space="preserve"> PAGEREF _Toc23085 \h </w:instrText>
      </w:r>
      <w:r>
        <w:fldChar w:fldCharType="separate"/>
      </w:r>
      <w:r>
        <w:t>17</w:t>
      </w:r>
      <w:r>
        <w:fldChar w:fldCharType="end"/>
      </w:r>
      <w:r>
        <w:fldChar w:fldCharType="end"/>
      </w:r>
    </w:p>
    <w:p w14:paraId="7DEB4FB5">
      <w:pPr>
        <w:pStyle w:val="21"/>
        <w:tabs>
          <w:tab w:val="right" w:leader="dot" w:pos="8306"/>
        </w:tabs>
      </w:pPr>
      <w:r>
        <w:fldChar w:fldCharType="begin"/>
      </w:r>
      <w:r>
        <w:instrText xml:space="preserve"> HYPERLINK \l "_Toc17028" </w:instrText>
      </w:r>
      <w:r>
        <w:fldChar w:fldCharType="separate"/>
      </w:r>
      <w:r>
        <w:rPr>
          <w:rFonts w:hint="eastAsia" w:ascii="宋体" w:hAnsi="宋体" w:eastAsia="宋体" w:cs="宋体"/>
          <w:bCs/>
          <w:szCs w:val="21"/>
        </w:rPr>
        <w:t>10.2 解释内容</w:t>
      </w:r>
      <w:r>
        <w:tab/>
      </w:r>
      <w:r>
        <w:fldChar w:fldCharType="begin"/>
      </w:r>
      <w:r>
        <w:instrText xml:space="preserve"> PAGEREF _Toc17028 \h </w:instrText>
      </w:r>
      <w:r>
        <w:fldChar w:fldCharType="separate"/>
      </w:r>
      <w:r>
        <w:t>17</w:t>
      </w:r>
      <w:r>
        <w:fldChar w:fldCharType="end"/>
      </w:r>
      <w:r>
        <w:fldChar w:fldCharType="end"/>
      </w:r>
    </w:p>
    <w:p w14:paraId="72D3D892">
      <w:pPr>
        <w:pStyle w:val="19"/>
        <w:tabs>
          <w:tab w:val="right" w:leader="dot" w:pos="8306"/>
        </w:tabs>
      </w:pPr>
      <w:r>
        <w:fldChar w:fldCharType="begin"/>
      </w:r>
      <w:r>
        <w:instrText xml:space="preserve"> HYPERLINK \l "_Toc22475" </w:instrText>
      </w:r>
      <w:r>
        <w:fldChar w:fldCharType="separate"/>
      </w:r>
      <w:r>
        <w:rPr>
          <w:rFonts w:hint="eastAsia" w:ascii="宋体" w:hAnsi="宋体" w:eastAsia="宋体" w:cs="宋体"/>
          <w:bCs/>
          <w:szCs w:val="21"/>
        </w:rPr>
        <w:t>附录1相关材料、能源碳排放因子</w:t>
      </w:r>
      <w:r>
        <w:tab/>
      </w:r>
      <w:r>
        <w:fldChar w:fldCharType="begin"/>
      </w:r>
      <w:r>
        <w:instrText xml:space="preserve"> PAGEREF _Toc22475 \h </w:instrText>
      </w:r>
      <w:r>
        <w:fldChar w:fldCharType="separate"/>
      </w:r>
      <w:r>
        <w:t>19</w:t>
      </w:r>
      <w:r>
        <w:fldChar w:fldCharType="end"/>
      </w:r>
      <w:r>
        <w:fldChar w:fldCharType="end"/>
      </w:r>
    </w:p>
    <w:p w14:paraId="4D6A0D51">
      <w:pPr>
        <w:pStyle w:val="19"/>
        <w:tabs>
          <w:tab w:val="right" w:leader="dot" w:pos="8306"/>
        </w:tabs>
      </w:pPr>
      <w:r>
        <w:fldChar w:fldCharType="begin"/>
      </w:r>
      <w:r>
        <w:instrText xml:space="preserve"> HYPERLINK \l "_Toc2433" </w:instrText>
      </w:r>
      <w:r>
        <w:fldChar w:fldCharType="separate"/>
      </w:r>
      <w:r>
        <w:rPr>
          <w:rFonts w:hint="eastAsia" w:ascii="宋体" w:hAnsi="宋体" w:eastAsia="宋体" w:cs="宋体"/>
          <w:bCs/>
          <w:szCs w:val="21"/>
        </w:rPr>
        <w:t>附录2</w:t>
      </w:r>
      <w:r>
        <w:tab/>
      </w:r>
      <w:r>
        <w:fldChar w:fldCharType="begin"/>
      </w:r>
      <w:r>
        <w:instrText xml:space="preserve"> PAGEREF _Toc2433 \h </w:instrText>
      </w:r>
      <w:r>
        <w:fldChar w:fldCharType="separate"/>
      </w:r>
      <w:r>
        <w:t>22</w:t>
      </w:r>
      <w:r>
        <w:fldChar w:fldCharType="end"/>
      </w:r>
      <w:r>
        <w:fldChar w:fldCharType="end"/>
      </w:r>
    </w:p>
    <w:p w14:paraId="7E256920">
      <w:pPr>
        <w:pStyle w:val="19"/>
        <w:tabs>
          <w:tab w:val="right" w:leader="dot" w:pos="8306"/>
        </w:tabs>
      </w:pPr>
      <w:r>
        <w:fldChar w:fldCharType="begin"/>
      </w:r>
      <w:r>
        <w:instrText xml:space="preserve"> HYPERLINK \l "_Toc19056" </w:instrText>
      </w:r>
      <w:r>
        <w:fldChar w:fldCharType="separate"/>
      </w:r>
      <w:r>
        <w:rPr>
          <w:rFonts w:hint="eastAsia" w:ascii="宋体" w:hAnsi="宋体" w:eastAsia="宋体" w:cs="宋体"/>
          <w:bCs/>
          <w:szCs w:val="21"/>
        </w:rPr>
        <w:t>附录3数据收集模板</w:t>
      </w:r>
      <w:r>
        <w:tab/>
      </w:r>
      <w:r>
        <w:fldChar w:fldCharType="begin"/>
      </w:r>
      <w:r>
        <w:instrText xml:space="preserve"> PAGEREF _Toc19056 \h </w:instrText>
      </w:r>
      <w:r>
        <w:fldChar w:fldCharType="separate"/>
      </w:r>
      <w:r>
        <w:t>26</w:t>
      </w:r>
      <w:r>
        <w:fldChar w:fldCharType="end"/>
      </w:r>
      <w:r>
        <w:fldChar w:fldCharType="end"/>
      </w:r>
    </w:p>
    <w:p w14:paraId="697FD4AC">
      <w:pPr>
        <w:pStyle w:val="19"/>
        <w:tabs>
          <w:tab w:val="right" w:leader="dot" w:pos="8306"/>
        </w:tabs>
      </w:pPr>
      <w:r>
        <w:fldChar w:fldCharType="begin"/>
      </w:r>
      <w:r>
        <w:instrText xml:space="preserve"> HYPERLINK \l "_Toc17765" </w:instrText>
      </w:r>
      <w:r>
        <w:fldChar w:fldCharType="separate"/>
      </w:r>
      <w:r>
        <w:rPr>
          <w:rFonts w:hint="eastAsia" w:ascii="宋体" w:hAnsi="宋体" w:eastAsia="宋体" w:cs="宋体"/>
          <w:bCs/>
          <w:szCs w:val="21"/>
        </w:rPr>
        <w:t>附录4 煤矸石制微晶玻璃碳足迹核算报告</w:t>
      </w:r>
      <w:r>
        <w:tab/>
      </w:r>
      <w:r>
        <w:fldChar w:fldCharType="begin"/>
      </w:r>
      <w:r>
        <w:instrText xml:space="preserve"> PAGEREF _Toc17765 \h </w:instrText>
      </w:r>
      <w:r>
        <w:fldChar w:fldCharType="separate"/>
      </w:r>
      <w:r>
        <w:t>28</w:t>
      </w:r>
      <w:r>
        <w:fldChar w:fldCharType="end"/>
      </w:r>
      <w:r>
        <w:fldChar w:fldCharType="end"/>
      </w:r>
    </w:p>
    <w:p w14:paraId="6F62FAEA">
      <w:pPr>
        <w:pStyle w:val="21"/>
        <w:tabs>
          <w:tab w:val="right" w:leader="dot" w:pos="8306"/>
        </w:tabs>
      </w:pPr>
    </w:p>
    <w:p w14:paraId="3038ACA5">
      <w:r>
        <w:fldChar w:fldCharType="end"/>
      </w:r>
    </w:p>
    <w:p w14:paraId="1C88E6FE"/>
    <w:p w14:paraId="3A2BBBB4"/>
    <w:p w14:paraId="56BB6C33"/>
    <w:p w14:paraId="0DB63FC1"/>
    <w:p w14:paraId="3F32DBCC">
      <w:p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p>
    <w:p w14:paraId="0B19CDD4">
      <w:pPr>
        <w:spacing w:line="360" w:lineRule="auto"/>
        <w:ind w:firstLine="420" w:firstLineChars="200"/>
        <w:jc w:val="center"/>
      </w:pPr>
      <w:r>
        <w:rPr>
          <w:rFonts w:hint="eastAsia"/>
        </w:rPr>
        <w:t>前言</w:t>
      </w:r>
    </w:p>
    <w:p w14:paraId="4AFC6E30">
      <w:pPr>
        <w:jc w:val="center"/>
      </w:pPr>
    </w:p>
    <w:p w14:paraId="120E911C">
      <w:pPr>
        <w:spacing w:line="360" w:lineRule="auto"/>
        <w:ind w:firstLine="420" w:firstLineChars="200"/>
      </w:pPr>
      <w:r>
        <w:rPr>
          <w:rFonts w:hint="eastAsia"/>
        </w:rPr>
        <w:t>根据根据《中华人民共和国标准化法》、《陕西省标准化条例》有关规定，和陕西省建筑材料标准化技术委员会的要求，标准编制组经广泛调查研究，认真总结实践经验，参考有关的国内外标准，并在广泛征求意见的基础上，编制了本标准。</w:t>
      </w:r>
    </w:p>
    <w:p w14:paraId="0BDA4CB4">
      <w:pPr>
        <w:spacing w:line="360" w:lineRule="auto"/>
        <w:ind w:firstLine="420" w:firstLineChars="200"/>
      </w:pPr>
      <w:r>
        <w:rPr>
          <w:rFonts w:hint="eastAsia"/>
        </w:rPr>
        <w:t>请注意本标准的某些内容可能涉及专利。本标准的发布机构不承担识别专利的责任。</w:t>
      </w:r>
    </w:p>
    <w:p w14:paraId="68F917D1">
      <w:pPr>
        <w:spacing w:line="360" w:lineRule="auto"/>
        <w:ind w:firstLine="420" w:firstLineChars="200"/>
      </w:pPr>
      <w:r>
        <w:rPr>
          <w:rFonts w:hint="eastAsia"/>
        </w:rPr>
        <w:t>本标准由陕西建材科技集团股份有限公司和西安建筑科技大学联合会共同提出。</w:t>
      </w:r>
    </w:p>
    <w:p w14:paraId="3EF74921">
      <w:pPr>
        <w:spacing w:line="360" w:lineRule="auto"/>
        <w:ind w:firstLine="420" w:firstLineChars="200"/>
      </w:pPr>
      <w:r>
        <w:rPr>
          <w:rFonts w:hint="eastAsia"/>
        </w:rPr>
        <w:t>本标准由陕西省建筑材料标准化技术委员会归口。</w:t>
      </w:r>
    </w:p>
    <w:p w14:paraId="17311192">
      <w:pPr>
        <w:spacing w:line="360" w:lineRule="auto"/>
        <w:ind w:firstLine="420" w:firstLineChars="200"/>
      </w:pPr>
      <w:r>
        <w:rPr>
          <w:rFonts w:hint="eastAsia"/>
        </w:rPr>
        <w:t>本标准主编单位、参编单位、主要起草人和主要审查人：</w:t>
      </w:r>
    </w:p>
    <w:p w14:paraId="6834FC8F">
      <w:pPr>
        <w:spacing w:line="360" w:lineRule="auto"/>
        <w:ind w:firstLine="420" w:firstLineChars="200"/>
      </w:pPr>
    </w:p>
    <w:p w14:paraId="5E9B0D25">
      <w:pPr>
        <w:rPr>
          <w:rFonts w:ascii="Times New Roman" w:hAnsi="Times New Roman" w:eastAsia="黑体" w:cs="Times New Roman"/>
          <w:bCs/>
          <w:sz w:val="30"/>
          <w:szCs w:val="30"/>
        </w:rPr>
      </w:pPr>
      <w:r>
        <w:rPr>
          <w:rFonts w:hint="eastAsia"/>
        </w:rPr>
        <w:t>本标准主编单位：陕西建材科技集团股份有限公司</w:t>
      </w:r>
      <w:r>
        <w:rPr>
          <w:rFonts w:hint="eastAsia"/>
        </w:rPr>
        <w:br w:type="textWrapping"/>
      </w:r>
      <w:r>
        <w:rPr>
          <w:rFonts w:hint="eastAsia"/>
        </w:rPr>
        <w:t>本标准参编单位：陕西生态龙门绿碳产业有限公司</w:t>
      </w:r>
    </w:p>
    <w:p w14:paraId="5EE52A93">
      <w:pPr>
        <w:ind w:firstLine="1680" w:firstLineChars="800"/>
      </w:pPr>
      <w:r>
        <w:rPr>
          <w:rFonts w:hint="eastAsia"/>
        </w:rPr>
        <w:t>西安建筑科技大学</w:t>
      </w:r>
    </w:p>
    <w:p w14:paraId="42C72DAD">
      <w:pPr>
        <w:ind w:left="1680" w:leftChars="800"/>
      </w:pPr>
      <w:r>
        <w:rPr>
          <w:rFonts w:hint="eastAsia"/>
        </w:rPr>
        <w:t>西安建筑科技大学研究总院有限公司</w:t>
      </w:r>
      <w:r>
        <w:rPr>
          <w:rFonts w:hint="eastAsia"/>
        </w:rPr>
        <w:br w:type="textWrapping"/>
      </w:r>
      <w:r>
        <w:rPr>
          <w:rFonts w:hint="eastAsia"/>
        </w:rPr>
        <w:t>陕西省建筑科学研究院有限公司</w:t>
      </w:r>
    </w:p>
    <w:p w14:paraId="0F32FB81">
      <w:pPr>
        <w:ind w:left="1680" w:leftChars="800"/>
      </w:pPr>
    </w:p>
    <w:p w14:paraId="79B02CC5">
      <w:pPr>
        <w:ind w:left="1680" w:leftChars="800"/>
      </w:pPr>
    </w:p>
    <w:p w14:paraId="55AD46FC">
      <w:r>
        <w:rPr>
          <w:rFonts w:hint="eastAsia"/>
        </w:rPr>
        <w:t>本标准主要起草人：杜永康、罗智星、黄沛增、杜旭升、毛  潘、郭志强、阮  丹、姜丹凤、</w:t>
      </w:r>
    </w:p>
    <w:p w14:paraId="57AD2038">
      <w:pPr>
        <w:ind w:firstLine="1890" w:firstLineChars="900"/>
      </w:pPr>
      <w:r>
        <w:rPr>
          <w:rFonts w:hint="eastAsia"/>
        </w:rPr>
        <w:t>闫  菁、申 卓、 沈宝镜、伍喜华、刘庆龙、王凯</w:t>
      </w:r>
    </w:p>
    <w:p w14:paraId="0AC9ECDE">
      <w:r>
        <w:rPr>
          <w:rFonts w:hint="eastAsia"/>
        </w:rPr>
        <w:t>本标准主要审查人：</w:t>
      </w:r>
      <w:bookmarkStart w:id="1" w:name="_Toc213248749"/>
    </w:p>
    <w:p w14:paraId="0F45CACB">
      <w:pPr>
        <w:pageBreakBefore/>
        <w:spacing w:line="360" w:lineRule="auto"/>
        <w:ind w:firstLine="420" w:firstLineChars="200"/>
        <w:jc w:val="center"/>
      </w:pPr>
      <w:r>
        <w:rPr>
          <w:rFonts w:hint="eastAsia"/>
        </w:rPr>
        <w:t>引言</w:t>
      </w:r>
      <w:bookmarkEnd w:id="1"/>
    </w:p>
    <w:p w14:paraId="40CB991B">
      <w:pPr>
        <w:pStyle w:val="55"/>
        <w:spacing w:line="360" w:lineRule="auto"/>
        <w:jc w:val="left"/>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利用煤矸石生产制备煤矸石制微晶玻璃有着广泛应用前景。基于GB/T 24040、GB/T 24044和GB/T 24067中确定的原则和要求，本文件为煤矸石制备煤矸石制微晶玻璃的碳足迹量化设置具体要求。</w:t>
      </w:r>
    </w:p>
    <w:p w14:paraId="54674905">
      <w:pPr>
        <w:pStyle w:val="55"/>
        <w:spacing w:line="360" w:lineRule="auto"/>
        <w:jc w:val="left"/>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本文件仅针对气候变化环境影响，不评价煤矸石制微晶玻璃生命周期中产生的其他潜在环境影响，也不评价其在生命周期内可能产生的社会和经济影响。</w:t>
      </w:r>
    </w:p>
    <w:p w14:paraId="10317E57">
      <w:pPr>
        <w:pStyle w:val="55"/>
        <w:spacing w:line="360" w:lineRule="auto"/>
        <w:jc w:val="left"/>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本文件旨在提供可量化的煤矸石制备煤矸石制微晶玻璃碳足迹信息，使采用不同原料来源、不同生产工艺制备的煤矸石制微晶玻璃之间具备可比性。一方面可为购买方提供可靠、可比的碳足迹信息，另一方面也为生产者持续改进产品的碳足迹绩效提供数据支持。</w:t>
      </w:r>
      <w:bookmarkStart w:id="2" w:name="_Toc17311"/>
      <w:r>
        <w:rPr>
          <w:rFonts w:hint="eastAsia" w:asciiTheme="minorHAnsi" w:hAnsiTheme="minorHAnsi" w:eastAsiaTheme="minorEastAsia" w:cstheme="minorBidi"/>
          <w:kern w:val="2"/>
          <w:szCs w:val="22"/>
        </w:rPr>
        <w:t>提出煤矸石制备煤矸石制微晶玻璃碳足迹报告的组织，宜确保相关数据经过第三方机构的独立验证，以提升报告的准确性和可信度。</w:t>
      </w:r>
    </w:p>
    <w:p w14:paraId="117BDF5A">
      <w:pPr>
        <w:pStyle w:val="3"/>
        <w:pageBreakBefore/>
        <w:spacing w:before="80"/>
        <w:rPr>
          <w:color w:val="auto"/>
        </w:rPr>
      </w:pPr>
      <w:bookmarkStart w:id="3" w:name="_Toc7039"/>
      <w:r>
        <w:rPr>
          <w:rFonts w:hint="eastAsia" w:ascii="宋体" w:hAnsi="宋体" w:eastAsia="宋体" w:cs="宋体"/>
          <w:b/>
          <w:bCs/>
          <w:color w:val="auto"/>
          <w:sz w:val="21"/>
          <w:szCs w:val="21"/>
        </w:rPr>
        <w:t>1</w:t>
      </w:r>
      <w:bookmarkEnd w:id="0"/>
      <w:bookmarkEnd w:id="2"/>
      <w:r>
        <w:rPr>
          <w:rFonts w:hint="eastAsia" w:ascii="宋体" w:hAnsi="宋体" w:eastAsia="宋体" w:cs="宋体"/>
          <w:b/>
          <w:bCs/>
          <w:color w:val="auto"/>
          <w:sz w:val="21"/>
          <w:szCs w:val="21"/>
        </w:rPr>
        <w:t>范围</w:t>
      </w:r>
      <w:bookmarkEnd w:id="3"/>
    </w:p>
    <w:p w14:paraId="1451A924">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本标准规定了</w:t>
      </w:r>
      <w:r>
        <w:rPr>
          <w:rFonts w:hint="eastAsia" w:ascii="Times New Roman" w:hAnsi="Times New Roman" w:eastAsia="方正仿宋_GB2312" w:cs="Times New Roman"/>
          <w:sz w:val="21"/>
          <w:szCs w:val="21"/>
        </w:rPr>
        <w:t>煤矸石制微晶玻璃</w:t>
      </w:r>
      <w:r>
        <w:rPr>
          <w:rFonts w:ascii="Times New Roman" w:hAnsi="Times New Roman" w:eastAsia="方正仿宋_GB2312" w:cs="Times New Roman"/>
          <w:sz w:val="21"/>
          <w:szCs w:val="21"/>
        </w:rPr>
        <w:t>碳足迹</w:t>
      </w:r>
      <w:r>
        <w:rPr>
          <w:rFonts w:hint="eastAsia" w:ascii="Times New Roman" w:hAnsi="Times New Roman" w:eastAsia="方正仿宋_GB2312" w:cs="Times New Roman"/>
          <w:sz w:val="21"/>
          <w:szCs w:val="21"/>
        </w:rPr>
        <w:t>量化的目的、范</w:t>
      </w:r>
      <w:r>
        <w:rPr>
          <w:rFonts w:hint="eastAsia" w:ascii="仿宋" w:hAnsi="仿宋" w:eastAsia="仿宋" w:cs="仿宋"/>
          <w:sz w:val="21"/>
          <w:szCs w:val="21"/>
        </w:rPr>
        <w:t>围</w:t>
      </w:r>
      <w:r>
        <w:rPr>
          <w:rFonts w:hint="eastAsia" w:ascii="Times New Roman" w:hAnsi="Times New Roman" w:eastAsia="方正仿宋_GB2312" w:cs="Times New Roman"/>
          <w:sz w:val="21"/>
          <w:szCs w:val="21"/>
        </w:rPr>
        <w:t>、数据和数据质量、生命周期清单分析、产品碳足迹影响评价、产品碳足迹结果解释及产品碳足迹报告。</w:t>
      </w:r>
    </w:p>
    <w:p w14:paraId="70851A1F">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本标准适用于</w:t>
      </w:r>
      <w:r>
        <w:rPr>
          <w:rFonts w:hint="eastAsia" w:ascii="Times New Roman" w:hAnsi="Times New Roman" w:eastAsia="方正仿宋_GB2312" w:cs="Times New Roman"/>
          <w:sz w:val="21"/>
          <w:szCs w:val="21"/>
        </w:rPr>
        <w:t>煤矸石制微晶玻璃</w:t>
      </w:r>
      <w:r>
        <w:rPr>
          <w:rFonts w:ascii="Times New Roman" w:hAnsi="Times New Roman" w:eastAsia="方正仿宋_GB2312" w:cs="Times New Roman"/>
          <w:sz w:val="21"/>
          <w:szCs w:val="21"/>
        </w:rPr>
        <w:t>的碳足迹量化和报告，用于指导</w:t>
      </w:r>
      <w:r>
        <w:rPr>
          <w:rFonts w:hint="eastAsia" w:ascii="Times New Roman" w:hAnsi="Times New Roman" w:eastAsia="方正仿宋_GB2312" w:cs="Times New Roman"/>
          <w:sz w:val="21"/>
          <w:szCs w:val="21"/>
        </w:rPr>
        <w:t>煤矸石制微晶玻璃</w:t>
      </w:r>
      <w:r>
        <w:rPr>
          <w:rFonts w:ascii="Times New Roman" w:hAnsi="Times New Roman" w:eastAsia="方正仿宋_GB2312" w:cs="Times New Roman"/>
          <w:sz w:val="21"/>
          <w:szCs w:val="21"/>
        </w:rPr>
        <w:t>碳足迹的核算、评价、核查等技术规范的编制工作，其结果可作为不同应用场景下，评估该产品对气候变化影响程度的依据。</w:t>
      </w:r>
    </w:p>
    <w:p w14:paraId="657FA0B5">
      <w:pPr>
        <w:pStyle w:val="3"/>
        <w:spacing w:before="80"/>
        <w:rPr>
          <w:rFonts w:ascii="宋体" w:hAnsi="宋体" w:eastAsia="宋体" w:cs="宋体"/>
          <w:b/>
          <w:bCs/>
          <w:color w:val="auto"/>
          <w:sz w:val="21"/>
          <w:szCs w:val="21"/>
        </w:rPr>
      </w:pPr>
      <w:bookmarkStart w:id="4" w:name="_Toc10877"/>
      <w:bookmarkStart w:id="5" w:name="_Toc25281"/>
      <w:bookmarkStart w:id="6" w:name="_Toc23454"/>
      <w:r>
        <w:rPr>
          <w:rFonts w:ascii="宋体" w:hAnsi="宋体" w:eastAsia="宋体" w:cs="宋体"/>
          <w:b/>
          <w:bCs/>
          <w:color w:val="auto"/>
          <w:sz w:val="21"/>
          <w:szCs w:val="21"/>
        </w:rPr>
        <w:t>2 规范性引用文件</w:t>
      </w:r>
      <w:bookmarkEnd w:id="4"/>
      <w:bookmarkEnd w:id="5"/>
      <w:bookmarkEnd w:id="6"/>
    </w:p>
    <w:p w14:paraId="78241D25">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下列文件中的内容通过文中的规范性引用而构成本标准必不可少的条款。其中，注日期的引用文件，仅该日期对应的版本适用于本标准；不注日期的引用文件，其最新版本（包括所有的修改单）适用于本标准。</w:t>
      </w:r>
    </w:p>
    <w:p w14:paraId="4952CD8E">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GB∕T 24067 温室气体 产品碳足迹 量化要求和指南</w:t>
      </w:r>
    </w:p>
    <w:p w14:paraId="40517814">
      <w:pPr>
        <w:pStyle w:val="51"/>
        <w:spacing w:before="0" w:after="0" w:line="400" w:lineRule="exact"/>
        <w:ind w:left="420" w:left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GB/T 24025 环境标志和声明 Ⅲ 型环境声明 原则和程序</w:t>
      </w:r>
      <w:r>
        <w:rPr>
          <w:rFonts w:hint="eastAsia" w:ascii="Times New Roman" w:hAnsi="Times New Roman" w:eastAsia="方正仿宋_GB2312" w:cs="Times New Roman"/>
          <w:sz w:val="21"/>
          <w:szCs w:val="21"/>
        </w:rPr>
        <w:t xml:space="preserve">   </w:t>
      </w:r>
    </w:p>
    <w:p w14:paraId="7CE7FB80">
      <w:pPr>
        <w:pStyle w:val="51"/>
        <w:spacing w:before="0" w:after="0" w:line="400" w:lineRule="exact"/>
        <w:ind w:left="420" w:left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GB/T 24040 环境管理 生命周期评价 原则与框架</w:t>
      </w:r>
    </w:p>
    <w:p w14:paraId="23FCE42F">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GB/T 24044 环境管理 生命周期评价 要求与指南</w:t>
      </w:r>
    </w:p>
    <w:p w14:paraId="754CC372">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GB/T 32150 工业企业温室气体排放核算和报告通则</w:t>
      </w:r>
    </w:p>
    <w:p w14:paraId="1791F03D">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GB/T 44716</w:t>
      </w:r>
      <w:r>
        <w:rPr>
          <w:rFonts w:hint="eastAsia" w:ascii="Times New Roman" w:hAnsi="Times New Roman" w:eastAsia="方正仿宋_GB2312" w:cs="Times New Roman"/>
          <w:sz w:val="21"/>
          <w:szCs w:val="21"/>
        </w:rPr>
        <w:t xml:space="preserve"> </w:t>
      </w:r>
      <w:r>
        <w:rPr>
          <w:rFonts w:ascii="Times New Roman" w:hAnsi="Times New Roman" w:eastAsia="方正仿宋_GB2312" w:cs="Times New Roman"/>
          <w:sz w:val="21"/>
          <w:szCs w:val="21"/>
        </w:rPr>
        <w:t>建筑材料低碳评估方法</w:t>
      </w:r>
      <w:r>
        <w:rPr>
          <w:rFonts w:hint="eastAsia" w:ascii="Times New Roman" w:hAnsi="Times New Roman" w:eastAsia="方正仿宋_GB2312" w:cs="Times New Roman"/>
          <w:sz w:val="21"/>
          <w:szCs w:val="21"/>
        </w:rPr>
        <w:t xml:space="preserve"> </w:t>
      </w:r>
    </w:p>
    <w:p w14:paraId="3EFAB9C4">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GB/T 29162 煤矸石分类</w:t>
      </w:r>
    </w:p>
    <w:p w14:paraId="2D18B670">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GB/T 29163 煤矸石利用技术导则</w:t>
      </w:r>
    </w:p>
    <w:p w14:paraId="11F91A4A">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ISO 14026 环境标签和声明 足迹信息通信的原则、要求和指南（Environmental labels and declarations - Principles, requirements and guidelines for communication of footprint information）</w:t>
      </w:r>
    </w:p>
    <w:p w14:paraId="0310CAC2">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 xml:space="preserve">ISO/TS 14027 环境标志与声明 制定产品类别规则（Environmental labels and declarations </w:t>
      </w:r>
      <w:r>
        <w:rPr>
          <w:rFonts w:hint="eastAsia" w:ascii="Times New Roman" w:hAnsi="Times New Roman" w:eastAsia="方正仿宋_GB2312" w:cs="Times New Roman"/>
          <w:sz w:val="21"/>
          <w:szCs w:val="21"/>
        </w:rPr>
        <w:t>-</w:t>
      </w:r>
      <w:r>
        <w:rPr>
          <w:rFonts w:ascii="Times New Roman" w:hAnsi="Times New Roman" w:eastAsia="方正仿宋_GB2312" w:cs="Times New Roman"/>
          <w:sz w:val="21"/>
          <w:szCs w:val="21"/>
        </w:rPr>
        <w:t xml:space="preserve"> Development of product category rules） </w:t>
      </w:r>
    </w:p>
    <w:p w14:paraId="3FBC7579">
      <w:pPr>
        <w:pStyle w:val="3"/>
        <w:spacing w:before="80"/>
        <w:rPr>
          <w:rFonts w:ascii="宋体" w:hAnsi="宋体" w:eastAsia="宋体" w:cs="宋体"/>
          <w:b/>
          <w:bCs/>
          <w:color w:val="auto"/>
          <w:sz w:val="21"/>
          <w:szCs w:val="21"/>
        </w:rPr>
      </w:pPr>
      <w:bookmarkStart w:id="7" w:name="_Toc2125"/>
      <w:bookmarkStart w:id="8" w:name="_Toc6748"/>
      <w:bookmarkStart w:id="9" w:name="_Toc19188"/>
      <w:r>
        <w:rPr>
          <w:rFonts w:ascii="宋体" w:hAnsi="宋体" w:eastAsia="宋体" w:cs="宋体"/>
          <w:b/>
          <w:bCs/>
          <w:color w:val="auto"/>
          <w:sz w:val="21"/>
          <w:szCs w:val="21"/>
        </w:rPr>
        <w:t>3 术语和定义</w:t>
      </w:r>
      <w:bookmarkEnd w:id="7"/>
      <w:bookmarkEnd w:id="8"/>
      <w:bookmarkEnd w:id="9"/>
    </w:p>
    <w:p w14:paraId="48266AEB">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GB/T 24025-2009、GB/T 24040-2008、GB/T 24044-2008、GB/T 24067-2024、GB/T 32150-2015 和 ISO/TS 14027:2017 界定的以及下列术语和定义适用于本文件。</w:t>
      </w:r>
    </w:p>
    <w:p w14:paraId="63DC9F9F">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煤矸石 Gangue</w:t>
      </w:r>
    </w:p>
    <w:p w14:paraId="2E4D855C">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在煤矿建井、开拓掘进、采煤和煤炭洗选过程中产生的干基灰分＞50%的岩石。</w:t>
      </w:r>
    </w:p>
    <w:p w14:paraId="16435C69">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【来源：GB/T 29162-2012，3.1】</w:t>
      </w:r>
    </w:p>
    <w:p w14:paraId="78F12681">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煤矸石制微晶玻璃</w:t>
      </w:r>
      <w:r>
        <w:rPr>
          <w:rFonts w:ascii="Times New Roman" w:hAnsi="Times New Roman" w:eastAsia="方正仿宋_GB2312" w:cs="Times New Roman"/>
          <w:b/>
          <w:bCs/>
          <w:sz w:val="21"/>
          <w:szCs w:val="21"/>
        </w:rPr>
        <w:t>Coal gangue microcrystalline glass</w:t>
      </w:r>
    </w:p>
    <w:p w14:paraId="75183680">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以煤矸石为主要原料，经配料、熔融、成型、晶化处理后制</w:t>
      </w:r>
      <w:r>
        <w:rPr>
          <w:rFonts w:hint="eastAsia" w:ascii="Times New Roman" w:hAnsi="Times New Roman" w:eastAsia="方正仿宋_GB2312" w:cs="Times New Roman"/>
          <w:sz w:val="21"/>
          <w:szCs w:val="21"/>
        </w:rPr>
        <w:t>成</w:t>
      </w:r>
      <w:r>
        <w:rPr>
          <w:rFonts w:ascii="Times New Roman" w:hAnsi="Times New Roman" w:eastAsia="方正仿宋_GB2312" w:cs="Times New Roman"/>
          <w:sz w:val="21"/>
          <w:szCs w:val="21"/>
        </w:rPr>
        <w:t>的含有大量微晶体和玻璃相的无机非金属材料。</w:t>
      </w:r>
    </w:p>
    <w:p w14:paraId="2AF84143">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产品碳足迹carbon footprint of a product；CFP</w:t>
      </w:r>
    </w:p>
    <w:p w14:paraId="785631BB">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产品系统中的 GHG排放量和GHG清除量之和，以二氧化碳当量表示，并基于气候变化这一单一环境影响类型进行生命周期评价。</w:t>
      </w:r>
    </w:p>
    <w:p w14:paraId="593B0BA9">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【来源：GB/T 24067-2024，3.1.1】</w:t>
      </w:r>
    </w:p>
    <w:p w14:paraId="4F85381D">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产品部分碳足迹partial carbon footprint of a product</w:t>
      </w:r>
    </w:p>
    <w:p w14:paraId="36442452">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在产品系统生命周期内的一个或多个选定阶段或过程中的GHG排放量和GHG清除量之和，并以二氧化碳当量表示。</w:t>
      </w:r>
    </w:p>
    <w:p w14:paraId="72E5A3DB">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【来源：GB/T 24067-2024，3.1.2】</w:t>
      </w:r>
    </w:p>
    <w:p w14:paraId="410A57B5">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温室气体greenhouse gas；GHG</w:t>
      </w:r>
    </w:p>
    <w:p w14:paraId="3D59F406">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大气层中自然存在的和由于人类活动产生的能够吸收和散发由地球表面、大气层和云层所产生的、波长在红外光谱内的辐射的气态成分。</w:t>
      </w:r>
    </w:p>
    <w:p w14:paraId="667F65DA">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【来源：GB/T 32150-2015，3.1】</w:t>
      </w:r>
    </w:p>
    <w:p w14:paraId="1AE19307">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二氧化碳当量carbon dioxide equivalent；CO</w:t>
      </w:r>
      <w:r>
        <w:rPr>
          <w:rFonts w:hint="eastAsia" w:ascii="Times New Roman" w:hAnsi="Times New Roman" w:eastAsia="方正仿宋_GB2312" w:cs="Times New Roman"/>
          <w:b/>
          <w:bCs/>
          <w:sz w:val="21"/>
          <w:szCs w:val="21"/>
          <w:vertAlign w:val="subscript"/>
        </w:rPr>
        <w:t>2</w:t>
      </w:r>
      <w:r>
        <w:rPr>
          <w:rFonts w:hint="eastAsia" w:ascii="Times New Roman" w:hAnsi="Times New Roman" w:eastAsia="方正仿宋_GB2312" w:cs="Times New Roman"/>
          <w:b/>
          <w:bCs/>
          <w:sz w:val="21"/>
          <w:szCs w:val="21"/>
        </w:rPr>
        <w:t>e</w:t>
      </w:r>
    </w:p>
    <w:p w14:paraId="1871FD12">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在辐射强度上与某种温室气体质量相当的二氧化碳的量。</w:t>
      </w:r>
    </w:p>
    <w:p w14:paraId="2C013F07">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【来源：GB/T 24067-2024，3.2.2】</w:t>
      </w:r>
    </w:p>
    <w:p w14:paraId="47B20ABA">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系统边界 system boundary</w:t>
      </w:r>
    </w:p>
    <w:p w14:paraId="327963D0">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通过一组准则确定哪些单元过程属于产品系统的一部分。</w:t>
      </w:r>
    </w:p>
    <w:p w14:paraId="0AD3C283">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【来源：GB/T 24067-2024，3.3.4】</w:t>
      </w:r>
    </w:p>
    <w:p w14:paraId="4CB7AF7C">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单元过程</w:t>
      </w:r>
      <w:r>
        <w:rPr>
          <w:rFonts w:hint="eastAsia" w:ascii="Times New Roman" w:hAnsi="Times New Roman" w:eastAsia="方正仿宋_GB2312" w:cs="Times New Roman"/>
          <w:sz w:val="21"/>
          <w:szCs w:val="21"/>
        </w:rPr>
        <w:t xml:space="preserve"> </w:t>
      </w:r>
      <w:r>
        <w:rPr>
          <w:rFonts w:hint="eastAsia" w:ascii="Times New Roman" w:hAnsi="Times New Roman" w:eastAsia="方正仿宋_GB2312" w:cs="Times New Roman"/>
          <w:b/>
          <w:bCs/>
          <w:sz w:val="21"/>
          <w:szCs w:val="21"/>
        </w:rPr>
        <w:t>unit process</w:t>
      </w:r>
    </w:p>
    <w:p w14:paraId="06370BEF">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进行生命周期清单分析时为量化输入和输出数据而确定的最基本部分。</w:t>
      </w:r>
    </w:p>
    <w:p w14:paraId="10BFC65D">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[来源：GB/T 24067-2024，3.3.6]</w:t>
      </w:r>
    </w:p>
    <w:p w14:paraId="6DD5FE31">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生命周期清单分析 life cycle inventory analysis</w:t>
      </w:r>
    </w:p>
    <w:p w14:paraId="492FF7BC">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生命周期评价的阶段，涉及产品整个生命周期内输入和输出的汇编和量化。</w:t>
      </w:r>
    </w:p>
    <w:p w14:paraId="78B7843A">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[来源：GB/T 24067-2024，3.4.4]</w:t>
      </w:r>
    </w:p>
    <w:p w14:paraId="687CA4A4">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初级数据 primary data</w:t>
      </w:r>
    </w:p>
    <w:p w14:paraId="52543785">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通过直接测量或基于直接测量的计算得到的过程或活动的量化值。</w:t>
      </w:r>
    </w:p>
    <w:p w14:paraId="0AFE93EB">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[来源：GB/T 24067-2024，3.6.1]</w:t>
      </w:r>
    </w:p>
    <w:p w14:paraId="1592418F">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现场数据 site-specific data</w:t>
      </w:r>
    </w:p>
    <w:p w14:paraId="1BCFBDFE">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从产品系统内部获得的初级数据。</w:t>
      </w:r>
    </w:p>
    <w:p w14:paraId="11120AF2">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[来源：GB/T 24067-2024，3.6.2]</w:t>
      </w:r>
    </w:p>
    <w:p w14:paraId="2A128F9A">
      <w:pPr>
        <w:pStyle w:val="51"/>
        <w:spacing w:before="0" w:after="0" w:line="400" w:lineRule="exact"/>
        <w:ind w:firstLine="422" w:firstLineChars="200"/>
        <w:rPr>
          <w:rFonts w:ascii="Times New Roman" w:hAnsi="Times New Roman" w:eastAsia="方正仿宋_GB2312" w:cs="Times New Roman"/>
          <w:b/>
          <w:bCs/>
          <w:sz w:val="21"/>
          <w:szCs w:val="21"/>
        </w:rPr>
      </w:pPr>
      <w:r>
        <w:rPr>
          <w:rFonts w:hint="eastAsia" w:ascii="Times New Roman" w:hAnsi="Times New Roman" w:eastAsia="方正仿宋_GB2312" w:cs="Times New Roman"/>
          <w:b/>
          <w:bCs/>
          <w:sz w:val="21"/>
          <w:szCs w:val="21"/>
        </w:rPr>
        <w:t>次级数据 secondary data</w:t>
      </w:r>
    </w:p>
    <w:p w14:paraId="762BD40E">
      <w:pPr>
        <w:pStyle w:val="55"/>
        <w:jc w:val="both"/>
        <w:rPr>
          <w:rFonts w:ascii="Times New Roman" w:eastAsia="方正仿宋_GB2312"/>
          <w:szCs w:val="21"/>
        </w:rPr>
      </w:pPr>
      <w:r>
        <w:rPr>
          <w:rFonts w:hint="eastAsia" w:ascii="Times New Roman" w:eastAsia="方正仿宋_GB2312"/>
          <w:szCs w:val="21"/>
        </w:rPr>
        <w:t>不符合初级数据要求的数据。</w:t>
      </w:r>
    </w:p>
    <w:p w14:paraId="5D0521BA">
      <w:pPr>
        <w:pStyle w:val="55"/>
        <w:jc w:val="both"/>
        <w:rPr>
          <w:rFonts w:ascii="Times New Roman" w:eastAsia="方正仿宋_GB2312"/>
          <w:b/>
          <w:bCs/>
          <w:szCs w:val="21"/>
        </w:rPr>
      </w:pPr>
      <w:r>
        <w:rPr>
          <w:rFonts w:hint="eastAsia" w:ascii="Times New Roman" w:eastAsia="方正仿宋_GB2312"/>
          <w:szCs w:val="21"/>
        </w:rPr>
        <w:t>[来源：GB/T 24067-2024，3.6.3]</w:t>
      </w:r>
    </w:p>
    <w:p w14:paraId="25057C9D">
      <w:pPr>
        <w:pStyle w:val="3"/>
        <w:spacing w:before="80"/>
        <w:rPr>
          <w:rFonts w:ascii="宋体" w:hAnsi="宋体" w:eastAsia="宋体" w:cs="宋体"/>
          <w:b/>
          <w:bCs/>
          <w:color w:val="auto"/>
          <w:sz w:val="21"/>
          <w:szCs w:val="21"/>
        </w:rPr>
      </w:pPr>
      <w:bookmarkStart w:id="10" w:name="_Toc26709"/>
      <w:bookmarkStart w:id="11" w:name="_Toc4144"/>
      <w:bookmarkStart w:id="12" w:name="_Toc26415"/>
      <w:r>
        <w:rPr>
          <w:rFonts w:ascii="宋体" w:hAnsi="宋体" w:eastAsia="宋体" w:cs="宋体"/>
          <w:b/>
          <w:bCs/>
          <w:color w:val="auto"/>
          <w:sz w:val="21"/>
          <w:szCs w:val="21"/>
        </w:rPr>
        <w:t xml:space="preserve">4 </w:t>
      </w:r>
      <w:r>
        <w:rPr>
          <w:rFonts w:hint="eastAsia" w:ascii="宋体" w:hAnsi="宋体" w:eastAsia="宋体" w:cs="宋体"/>
          <w:b/>
          <w:bCs/>
          <w:color w:val="auto"/>
          <w:sz w:val="21"/>
          <w:szCs w:val="21"/>
        </w:rPr>
        <w:t>基本</w:t>
      </w:r>
      <w:r>
        <w:rPr>
          <w:rFonts w:ascii="宋体" w:hAnsi="宋体" w:eastAsia="宋体" w:cs="宋体"/>
          <w:b/>
          <w:bCs/>
          <w:color w:val="auto"/>
          <w:sz w:val="21"/>
          <w:szCs w:val="21"/>
        </w:rPr>
        <w:t>原则</w:t>
      </w:r>
      <w:bookmarkEnd w:id="10"/>
      <w:bookmarkEnd w:id="11"/>
      <w:bookmarkEnd w:id="12"/>
    </w:p>
    <w:p w14:paraId="3629315E">
      <w:pPr>
        <w:pStyle w:val="4"/>
        <w:keepNext w:val="0"/>
        <w:keepLines w:val="0"/>
        <w:widowControl/>
        <w:spacing w:before="0" w:after="0" w:line="400" w:lineRule="exact"/>
        <w:rPr>
          <w:rFonts w:ascii="宋体" w:hAnsi="宋体" w:eastAsia="宋体" w:cs="宋体"/>
          <w:b/>
          <w:bCs/>
          <w:color w:val="auto"/>
          <w:sz w:val="21"/>
          <w:szCs w:val="21"/>
        </w:rPr>
      </w:pPr>
      <w:bookmarkStart w:id="13" w:name="_Toc19170"/>
      <w:bookmarkStart w:id="14" w:name="_Toc25291"/>
      <w:bookmarkStart w:id="15" w:name="_Toc2369"/>
      <w:r>
        <w:rPr>
          <w:rFonts w:hint="eastAsia" w:ascii="宋体" w:hAnsi="宋体" w:eastAsia="宋体" w:cs="宋体"/>
          <w:b/>
          <w:bCs/>
          <w:color w:val="auto"/>
          <w:sz w:val="21"/>
          <w:szCs w:val="21"/>
        </w:rPr>
        <w:t>4.1 相关性</w:t>
      </w:r>
      <w:bookmarkEnd w:id="13"/>
      <w:bookmarkEnd w:id="14"/>
      <w:bookmarkEnd w:id="15"/>
    </w:p>
    <w:p w14:paraId="2AB4CFE0">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系统边界、数据及方法与核算目的相关，数据可靠且关联实际过程。</w:t>
      </w:r>
    </w:p>
    <w:p w14:paraId="5E69333A">
      <w:pPr>
        <w:pStyle w:val="4"/>
        <w:keepNext w:val="0"/>
        <w:keepLines w:val="0"/>
        <w:widowControl/>
        <w:spacing w:before="0" w:after="0" w:line="400" w:lineRule="exact"/>
        <w:rPr>
          <w:rFonts w:ascii="宋体" w:hAnsi="宋体" w:eastAsia="宋体" w:cs="宋体"/>
          <w:b/>
          <w:bCs/>
          <w:color w:val="auto"/>
          <w:sz w:val="21"/>
          <w:szCs w:val="21"/>
        </w:rPr>
      </w:pPr>
      <w:bookmarkStart w:id="16" w:name="_Toc2665"/>
      <w:r>
        <w:rPr>
          <w:rFonts w:ascii="宋体" w:hAnsi="宋体" w:eastAsia="宋体" w:cs="宋体"/>
          <w:b/>
          <w:bCs/>
          <w:color w:val="auto"/>
          <w:sz w:val="21"/>
          <w:szCs w:val="21"/>
        </w:rPr>
        <w:t>4.2 完整性</w:t>
      </w:r>
      <w:bookmarkEnd w:id="16"/>
    </w:p>
    <w:p w14:paraId="62DB80C6">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涵盖生命周期内所有显著贡献的过程和活动，全面识别排放与清除不遗漏。</w:t>
      </w:r>
    </w:p>
    <w:p w14:paraId="0FF2FE0F">
      <w:pPr>
        <w:pStyle w:val="4"/>
        <w:keepNext w:val="0"/>
        <w:keepLines w:val="0"/>
        <w:widowControl/>
        <w:spacing w:before="0" w:after="0" w:line="400" w:lineRule="exact"/>
        <w:rPr>
          <w:rFonts w:ascii="宋体" w:hAnsi="宋体" w:eastAsia="宋体" w:cs="宋体"/>
          <w:b/>
          <w:bCs/>
          <w:color w:val="auto"/>
          <w:sz w:val="21"/>
          <w:szCs w:val="21"/>
        </w:rPr>
      </w:pPr>
      <w:bookmarkStart w:id="17" w:name="_Toc3547"/>
      <w:r>
        <w:rPr>
          <w:rFonts w:ascii="宋体" w:hAnsi="宋体" w:eastAsia="宋体" w:cs="宋体"/>
          <w:b/>
          <w:bCs/>
          <w:color w:val="auto"/>
          <w:sz w:val="21"/>
          <w:szCs w:val="21"/>
        </w:rPr>
        <w:t>4.3 一致性</w:t>
      </w:r>
      <w:bookmarkEnd w:id="17"/>
    </w:p>
    <w:p w14:paraId="4D408F0F">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核算过程中方法、假设、标准和程序保持一致，数据兼容。</w:t>
      </w:r>
    </w:p>
    <w:p w14:paraId="7E9C0DDE">
      <w:pPr>
        <w:pStyle w:val="4"/>
        <w:keepNext w:val="0"/>
        <w:keepLines w:val="0"/>
        <w:widowControl/>
        <w:spacing w:before="0" w:after="0" w:line="400" w:lineRule="exact"/>
        <w:rPr>
          <w:rFonts w:ascii="宋体" w:hAnsi="宋体" w:eastAsia="宋体" w:cs="宋体"/>
          <w:b/>
          <w:bCs/>
          <w:color w:val="auto"/>
          <w:sz w:val="21"/>
          <w:szCs w:val="21"/>
        </w:rPr>
      </w:pPr>
      <w:bookmarkStart w:id="18" w:name="_Toc5817"/>
      <w:r>
        <w:rPr>
          <w:rFonts w:ascii="宋体" w:hAnsi="宋体" w:eastAsia="宋体" w:cs="宋体"/>
          <w:b/>
          <w:bCs/>
          <w:color w:val="auto"/>
          <w:sz w:val="21"/>
          <w:szCs w:val="21"/>
        </w:rPr>
        <w:t>4.4 统一性</w:t>
      </w:r>
      <w:bookmarkEnd w:id="18"/>
    </w:p>
    <w:p w14:paraId="2832B727">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遵循统一标准规范以确保结果可比，采用统一排放因子。</w:t>
      </w:r>
    </w:p>
    <w:p w14:paraId="37122FAE">
      <w:pPr>
        <w:pStyle w:val="4"/>
        <w:keepNext w:val="0"/>
        <w:keepLines w:val="0"/>
        <w:widowControl/>
        <w:spacing w:before="0" w:after="0" w:line="400" w:lineRule="exact"/>
        <w:rPr>
          <w:rFonts w:ascii="宋体" w:hAnsi="宋体" w:eastAsia="宋体" w:cs="宋体"/>
          <w:b/>
          <w:bCs/>
          <w:color w:val="auto"/>
          <w:sz w:val="21"/>
          <w:szCs w:val="21"/>
        </w:rPr>
      </w:pPr>
      <w:bookmarkStart w:id="19" w:name="_Toc2736"/>
      <w:r>
        <w:rPr>
          <w:rFonts w:ascii="宋体" w:hAnsi="宋体" w:eastAsia="宋体" w:cs="宋体"/>
          <w:b/>
          <w:bCs/>
          <w:color w:val="auto"/>
          <w:sz w:val="21"/>
          <w:szCs w:val="21"/>
        </w:rPr>
        <w:t>4.5 准确性</w:t>
      </w:r>
      <w:bookmarkEnd w:id="19"/>
    </w:p>
    <w:p w14:paraId="26BEE5C4">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数据准确可靠，方法科学以减少误差。</w:t>
      </w:r>
    </w:p>
    <w:p w14:paraId="0F0594E0">
      <w:pPr>
        <w:pStyle w:val="4"/>
        <w:keepNext w:val="0"/>
        <w:keepLines w:val="0"/>
        <w:widowControl/>
        <w:spacing w:before="0" w:after="0" w:line="400" w:lineRule="exact"/>
        <w:rPr>
          <w:rFonts w:ascii="宋体" w:hAnsi="宋体" w:eastAsia="宋体" w:cs="宋体"/>
          <w:b/>
          <w:bCs/>
          <w:color w:val="auto"/>
          <w:sz w:val="21"/>
          <w:szCs w:val="21"/>
        </w:rPr>
      </w:pPr>
      <w:bookmarkStart w:id="20" w:name="_Toc27268"/>
      <w:r>
        <w:rPr>
          <w:rFonts w:ascii="宋体" w:hAnsi="宋体" w:eastAsia="宋体" w:cs="宋体"/>
          <w:b/>
          <w:bCs/>
          <w:color w:val="auto"/>
          <w:sz w:val="21"/>
          <w:szCs w:val="21"/>
        </w:rPr>
        <w:t>4.6 透明性</w:t>
      </w:r>
      <w:bookmarkEnd w:id="20"/>
    </w:p>
    <w:p w14:paraId="1CF23391">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过程透明，记录并追溯数据来源、方法，说明并公开关键因素分析。</w:t>
      </w:r>
    </w:p>
    <w:p w14:paraId="248BBDFA">
      <w:pPr>
        <w:pStyle w:val="4"/>
        <w:keepNext w:val="0"/>
        <w:keepLines w:val="0"/>
        <w:widowControl/>
        <w:spacing w:before="0" w:after="0" w:line="400" w:lineRule="exact"/>
        <w:rPr>
          <w:rFonts w:ascii="宋体" w:hAnsi="宋体" w:eastAsia="宋体" w:cs="宋体"/>
          <w:b/>
          <w:bCs/>
          <w:color w:val="auto"/>
          <w:sz w:val="21"/>
          <w:szCs w:val="21"/>
        </w:rPr>
      </w:pPr>
      <w:bookmarkStart w:id="21" w:name="_Toc8596"/>
      <w:r>
        <w:rPr>
          <w:rFonts w:ascii="宋体" w:hAnsi="宋体" w:eastAsia="宋体" w:cs="宋体"/>
          <w:b/>
          <w:bCs/>
          <w:color w:val="auto"/>
          <w:sz w:val="21"/>
          <w:szCs w:val="21"/>
        </w:rPr>
        <w:t>4.7 避免重复计算</w:t>
      </w:r>
      <w:bookmarkEnd w:id="21"/>
    </w:p>
    <w:p w14:paraId="09AA00EC">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确保每个排放或清除事件只算一次，合理分配共享资源的碳排放。</w:t>
      </w:r>
    </w:p>
    <w:p w14:paraId="040A4E4A">
      <w:pPr>
        <w:pStyle w:val="3"/>
        <w:spacing w:before="80"/>
        <w:rPr>
          <w:rFonts w:ascii="宋体" w:hAnsi="宋体" w:eastAsia="宋体" w:cs="宋体"/>
          <w:b/>
          <w:bCs/>
          <w:color w:val="auto"/>
          <w:sz w:val="21"/>
          <w:szCs w:val="21"/>
        </w:rPr>
      </w:pPr>
      <w:bookmarkStart w:id="22" w:name="_Toc28456"/>
      <w:bookmarkStart w:id="23" w:name="_Toc7087"/>
      <w:bookmarkStart w:id="24" w:name="_Toc25469"/>
      <w:r>
        <w:rPr>
          <w:rFonts w:ascii="宋体" w:hAnsi="宋体" w:eastAsia="宋体" w:cs="宋体"/>
          <w:b/>
          <w:bCs/>
          <w:color w:val="auto"/>
          <w:sz w:val="21"/>
          <w:szCs w:val="21"/>
        </w:rPr>
        <w:t xml:space="preserve">5 </w:t>
      </w:r>
      <w:r>
        <w:rPr>
          <w:rFonts w:hint="eastAsia" w:ascii="宋体" w:hAnsi="宋体" w:eastAsia="宋体" w:cs="宋体"/>
          <w:b/>
          <w:bCs/>
          <w:color w:val="auto"/>
          <w:sz w:val="21"/>
          <w:szCs w:val="21"/>
        </w:rPr>
        <w:t>量化目的</w:t>
      </w:r>
      <w:bookmarkEnd w:id="22"/>
      <w:bookmarkEnd w:id="23"/>
      <w:bookmarkEnd w:id="24"/>
    </w:p>
    <w:p w14:paraId="79D89F44">
      <w:pPr>
        <w:pStyle w:val="51"/>
        <w:spacing w:before="0" w:after="0" w:line="400" w:lineRule="exact"/>
        <w:ind w:firstLine="420" w:firstLineChars="200"/>
        <w:rPr>
          <w:rFonts w:ascii="Times New Roman" w:hAnsi="Times New Roman" w:eastAsia="方正仿宋_GB2312" w:cs="Times New Roman"/>
          <w:strike/>
          <w:sz w:val="21"/>
          <w:szCs w:val="21"/>
        </w:rPr>
      </w:pPr>
      <w:r>
        <w:rPr>
          <w:rFonts w:ascii="Times New Roman" w:hAnsi="Times New Roman" w:eastAsia="方正仿宋_GB2312" w:cs="Times New Roman"/>
          <w:sz w:val="21"/>
          <w:szCs w:val="21"/>
        </w:rPr>
        <w:t>通过量化</w:t>
      </w:r>
      <w:r>
        <w:rPr>
          <w:rFonts w:hint="eastAsia" w:ascii="Times New Roman" w:hAnsi="Times New Roman" w:eastAsia="方正仿宋_GB2312" w:cs="Times New Roman"/>
          <w:sz w:val="21"/>
          <w:szCs w:val="21"/>
        </w:rPr>
        <w:t>煤矸石制微晶玻璃</w:t>
      </w:r>
      <w:r>
        <w:rPr>
          <w:rFonts w:ascii="Times New Roman" w:hAnsi="Times New Roman" w:eastAsia="方正仿宋_GB2312" w:cs="Times New Roman"/>
          <w:sz w:val="21"/>
          <w:szCs w:val="21"/>
        </w:rPr>
        <w:t>生命周期或选定单元的显著温室气体排放量，应包括原材料获取阶段、生产阶段、运储阶段，宜包括使用阶段和生命末期阶段，计算</w:t>
      </w:r>
      <w:r>
        <w:rPr>
          <w:rFonts w:hint="eastAsia" w:ascii="Times New Roman" w:hAnsi="Times New Roman" w:eastAsia="方正仿宋_GB2312" w:cs="Times New Roman"/>
          <w:sz w:val="21"/>
          <w:szCs w:val="21"/>
        </w:rPr>
        <w:t>煤矸石制微晶玻璃</w:t>
      </w:r>
      <w:r>
        <w:rPr>
          <w:rFonts w:ascii="Times New Roman" w:hAnsi="Times New Roman" w:eastAsia="方正仿宋_GB2312" w:cs="Times New Roman"/>
          <w:sz w:val="21"/>
          <w:szCs w:val="21"/>
        </w:rPr>
        <w:t>在生命周期或选定阶段对全球变暖的潜在贡献[以二氧化碳当量</w:t>
      </w:r>
      <w:r>
        <w:rPr>
          <w:rFonts w:hint="eastAsia" w:ascii="Times New Roman" w:hAnsi="Times New Roman" w:eastAsia="方正仿宋_GB2312" w:cs="Times New Roman"/>
          <w:sz w:val="21"/>
          <w:szCs w:val="21"/>
        </w:rPr>
        <w:t>（</w:t>
      </w:r>
      <w:r>
        <w:rPr>
          <w:rFonts w:ascii="Times New Roman" w:hAnsi="Times New Roman" w:eastAsia="方正仿宋_GB2312" w:cs="Times New Roman"/>
          <w:sz w:val="21"/>
          <w:szCs w:val="21"/>
        </w:rPr>
        <w:t>CO</w:t>
      </w:r>
      <w:r>
        <w:rPr>
          <w:rFonts w:hint="eastAsia" w:ascii="Times New Roman" w:hAnsi="Times New Roman" w:eastAsia="方正仿宋_GB2312" w:cs="Times New Roman"/>
          <w:sz w:val="21"/>
          <w:szCs w:val="21"/>
          <w:vertAlign w:val="subscript"/>
        </w:rPr>
        <w:t>2</w:t>
      </w:r>
      <w:r>
        <w:rPr>
          <w:rFonts w:ascii="Times New Roman" w:hAnsi="Times New Roman" w:eastAsia="方正仿宋_GB2312" w:cs="Times New Roman"/>
          <w:sz w:val="21"/>
          <w:szCs w:val="21"/>
        </w:rPr>
        <w:t>e</w:t>
      </w:r>
      <w:r>
        <w:rPr>
          <w:rFonts w:hint="eastAsia" w:ascii="Times New Roman" w:hAnsi="Times New Roman" w:eastAsia="方正仿宋_GB2312" w:cs="Times New Roman"/>
          <w:sz w:val="21"/>
          <w:szCs w:val="21"/>
        </w:rPr>
        <w:t>）</w:t>
      </w:r>
      <w:r>
        <w:rPr>
          <w:rFonts w:ascii="Times New Roman" w:hAnsi="Times New Roman" w:eastAsia="方正仿宋_GB2312" w:cs="Times New Roman"/>
          <w:sz w:val="21"/>
          <w:szCs w:val="21"/>
        </w:rPr>
        <w:t>表示]。</w:t>
      </w:r>
    </w:p>
    <w:p w14:paraId="6CAC2557">
      <w:pPr>
        <w:pStyle w:val="3"/>
        <w:spacing w:before="80"/>
        <w:rPr>
          <w:rFonts w:ascii="宋体" w:hAnsi="宋体" w:eastAsia="宋体" w:cs="宋体"/>
          <w:b/>
          <w:bCs/>
          <w:color w:val="auto"/>
          <w:sz w:val="21"/>
          <w:szCs w:val="21"/>
        </w:rPr>
      </w:pPr>
      <w:bookmarkStart w:id="25" w:name="_Toc9898"/>
      <w:r>
        <w:rPr>
          <w:rFonts w:hint="eastAsia" w:ascii="宋体" w:hAnsi="宋体" w:eastAsia="宋体" w:cs="宋体"/>
          <w:b/>
          <w:bCs/>
          <w:color w:val="auto"/>
          <w:sz w:val="21"/>
          <w:szCs w:val="21"/>
        </w:rPr>
        <w:t>6 量化</w:t>
      </w:r>
      <w:r>
        <w:rPr>
          <w:rFonts w:ascii="宋体" w:hAnsi="宋体" w:eastAsia="宋体" w:cs="宋体"/>
          <w:b/>
          <w:bCs/>
          <w:color w:val="auto"/>
          <w:sz w:val="21"/>
          <w:szCs w:val="21"/>
        </w:rPr>
        <w:t>范围</w:t>
      </w:r>
      <w:bookmarkEnd w:id="25"/>
    </w:p>
    <w:p w14:paraId="021FEB62">
      <w:pPr>
        <w:pStyle w:val="4"/>
        <w:keepNext w:val="0"/>
        <w:keepLines w:val="0"/>
        <w:widowControl/>
        <w:spacing w:before="0" w:after="0" w:line="400" w:lineRule="exact"/>
        <w:rPr>
          <w:rFonts w:ascii="宋体" w:hAnsi="宋体" w:eastAsia="宋体" w:cs="宋体"/>
          <w:b/>
          <w:bCs/>
          <w:color w:val="auto"/>
          <w:sz w:val="21"/>
          <w:szCs w:val="21"/>
        </w:rPr>
      </w:pPr>
      <w:bookmarkStart w:id="26" w:name="_Toc21572"/>
      <w:r>
        <w:rPr>
          <w:rFonts w:hint="eastAsia" w:ascii="宋体" w:hAnsi="宋体" w:eastAsia="宋体" w:cs="宋体"/>
          <w:b/>
          <w:bCs/>
          <w:color w:val="auto"/>
          <w:sz w:val="21"/>
          <w:szCs w:val="21"/>
        </w:rPr>
        <w:t>6.1产品描述</w:t>
      </w:r>
      <w:bookmarkEnd w:id="26"/>
    </w:p>
    <w:p w14:paraId="2E56C2CF">
      <w:pPr>
        <w:pStyle w:val="51"/>
        <w:spacing w:before="0" w:after="0" w:line="400" w:lineRule="exact"/>
        <w:ind w:firstLine="420" w:firstLineChars="200"/>
        <w:rPr>
          <w:rFonts w:ascii="仿宋" w:hAnsi="仿宋" w:eastAsia="仿宋" w:cs="仿宋"/>
          <w:sz w:val="21"/>
          <w:szCs w:val="21"/>
        </w:rPr>
      </w:pPr>
      <w:r>
        <w:rPr>
          <w:rFonts w:hint="eastAsia" w:ascii="仿宋" w:hAnsi="仿宋" w:eastAsia="仿宋" w:cs="仿宋"/>
          <w:sz w:val="21"/>
          <w:szCs w:val="21"/>
        </w:rPr>
        <w:t>产品描述应使用户能够清晰识别产品，并可参照GB11614、GB50435、GB/T50527、GB/T 15763.2等的要求进行描述，描述内容包括但不限于：</w:t>
      </w:r>
    </w:p>
    <w:p w14:paraId="6926582B">
      <w:pPr>
        <w:pStyle w:val="51"/>
        <w:numPr>
          <w:ilvl w:val="0"/>
          <w:numId w:val="4"/>
        </w:numPr>
        <w:spacing w:before="0" w:after="0" w:line="400" w:lineRule="exact"/>
        <w:ind w:firstLine="420" w:firstLineChars="200"/>
        <w:rPr>
          <w:rFonts w:ascii="仿宋" w:hAnsi="仿宋" w:eastAsia="仿宋" w:cs="仿宋"/>
          <w:sz w:val="21"/>
          <w:szCs w:val="21"/>
        </w:rPr>
      </w:pPr>
      <w:r>
        <w:rPr>
          <w:rFonts w:hint="eastAsia" w:ascii="仿宋" w:hAnsi="仿宋" w:eastAsia="仿宋" w:cs="仿宋"/>
          <w:sz w:val="21"/>
          <w:szCs w:val="21"/>
        </w:rPr>
        <w:t>产品名称和牌号;</w:t>
      </w:r>
    </w:p>
    <w:p w14:paraId="55E876E5">
      <w:pPr>
        <w:pStyle w:val="51"/>
        <w:numPr>
          <w:ilvl w:val="0"/>
          <w:numId w:val="4"/>
        </w:numPr>
        <w:spacing w:before="0" w:after="0" w:line="400" w:lineRule="exact"/>
        <w:ind w:firstLine="420" w:firstLineChars="200"/>
        <w:rPr>
          <w:rFonts w:ascii="仿宋" w:hAnsi="仿宋" w:eastAsia="仿宋" w:cs="仿宋"/>
          <w:sz w:val="21"/>
          <w:szCs w:val="21"/>
        </w:rPr>
      </w:pPr>
      <w:r>
        <w:rPr>
          <w:rFonts w:hint="eastAsia" w:ascii="仿宋" w:hAnsi="仿宋" w:eastAsia="仿宋" w:cs="仿宋"/>
          <w:sz w:val="21"/>
          <w:szCs w:val="21"/>
        </w:rPr>
        <w:t>产品批号;</w:t>
      </w:r>
    </w:p>
    <w:p w14:paraId="1DCE0378">
      <w:pPr>
        <w:pStyle w:val="51"/>
        <w:numPr>
          <w:ilvl w:val="0"/>
          <w:numId w:val="4"/>
        </w:numPr>
        <w:spacing w:before="0" w:after="0" w:line="400" w:lineRule="exact"/>
        <w:ind w:firstLine="420" w:firstLineChars="200"/>
        <w:rPr>
          <w:rFonts w:ascii="仿宋" w:hAnsi="仿宋" w:eastAsia="仿宋" w:cs="仿宋"/>
          <w:sz w:val="21"/>
          <w:szCs w:val="21"/>
        </w:rPr>
      </w:pPr>
      <w:r>
        <w:rPr>
          <w:rFonts w:hint="eastAsia" w:ascii="仿宋" w:hAnsi="仿宋" w:eastAsia="仿宋" w:cs="仿宋"/>
          <w:sz w:val="21"/>
          <w:szCs w:val="21"/>
        </w:rPr>
        <w:t>产品净重;</w:t>
      </w:r>
    </w:p>
    <w:p w14:paraId="4DD2D46A">
      <w:pPr>
        <w:pStyle w:val="51"/>
        <w:numPr>
          <w:ilvl w:val="0"/>
          <w:numId w:val="4"/>
        </w:numPr>
        <w:spacing w:before="0" w:after="0" w:line="400" w:lineRule="exact"/>
        <w:ind w:firstLine="420" w:firstLineChars="200"/>
        <w:rPr>
          <w:rFonts w:ascii="仿宋" w:hAnsi="仿宋" w:eastAsia="仿宋" w:cs="仿宋"/>
          <w:sz w:val="21"/>
          <w:szCs w:val="21"/>
        </w:rPr>
      </w:pPr>
      <w:r>
        <w:rPr>
          <w:rFonts w:hint="eastAsia" w:ascii="仿宋" w:hAnsi="仿宋" w:eastAsia="仿宋" w:cs="仿宋"/>
          <w:sz w:val="21"/>
          <w:szCs w:val="21"/>
        </w:rPr>
        <w:t>分析检验结果及检验部门印记;</w:t>
      </w:r>
    </w:p>
    <w:p w14:paraId="71FC3C1F">
      <w:pPr>
        <w:pStyle w:val="51"/>
        <w:numPr>
          <w:ilvl w:val="0"/>
          <w:numId w:val="4"/>
        </w:numPr>
        <w:spacing w:before="0" w:after="0" w:line="400" w:lineRule="exact"/>
        <w:ind w:firstLine="420" w:firstLineChars="200"/>
        <w:rPr>
          <w:rFonts w:ascii="仿宋" w:hAnsi="仿宋" w:eastAsia="仿宋" w:cs="仿宋"/>
          <w:sz w:val="21"/>
          <w:szCs w:val="21"/>
        </w:rPr>
      </w:pPr>
      <w:r>
        <w:rPr>
          <w:rFonts w:hint="eastAsia" w:ascii="仿宋" w:hAnsi="仿宋" w:eastAsia="仿宋" w:cs="仿宋"/>
          <w:sz w:val="21"/>
          <w:szCs w:val="21"/>
        </w:rPr>
        <w:t>出厂日期。</w:t>
      </w:r>
    </w:p>
    <w:p w14:paraId="75A06E91">
      <w:pPr>
        <w:pStyle w:val="4"/>
        <w:keepNext w:val="0"/>
        <w:keepLines w:val="0"/>
        <w:widowControl/>
        <w:spacing w:before="0" w:after="0" w:line="400" w:lineRule="exact"/>
        <w:rPr>
          <w:rFonts w:ascii="宋体" w:hAnsi="宋体" w:eastAsia="宋体" w:cs="宋体"/>
          <w:b/>
          <w:bCs/>
          <w:color w:val="auto"/>
          <w:sz w:val="21"/>
          <w:szCs w:val="21"/>
        </w:rPr>
      </w:pPr>
      <w:bookmarkStart w:id="27" w:name="_Toc28801"/>
      <w:r>
        <w:rPr>
          <w:rFonts w:hint="eastAsia" w:ascii="宋体" w:hAnsi="宋体" w:eastAsia="宋体" w:cs="宋体"/>
          <w:b/>
          <w:bCs/>
          <w:color w:val="auto"/>
          <w:sz w:val="21"/>
          <w:szCs w:val="21"/>
        </w:rPr>
        <w:t>6.2</w:t>
      </w:r>
      <w:r>
        <w:rPr>
          <w:rFonts w:ascii="宋体" w:hAnsi="宋体" w:eastAsia="宋体" w:cs="宋体"/>
          <w:b/>
          <w:bCs/>
          <w:color w:val="auto"/>
          <w:sz w:val="21"/>
          <w:szCs w:val="21"/>
        </w:rPr>
        <w:t xml:space="preserve"> 功能单位</w:t>
      </w:r>
      <w:r>
        <w:rPr>
          <w:rFonts w:hint="eastAsia" w:ascii="宋体" w:hAnsi="宋体" w:eastAsia="宋体" w:cs="宋体"/>
          <w:b/>
          <w:bCs/>
          <w:color w:val="auto"/>
          <w:sz w:val="21"/>
          <w:szCs w:val="21"/>
        </w:rPr>
        <w:t>或声明单位</w:t>
      </w:r>
      <w:bookmarkEnd w:id="27"/>
    </w:p>
    <w:p w14:paraId="71DC1921">
      <w:pPr>
        <w:pStyle w:val="51"/>
        <w:spacing w:before="0" w:after="0" w:line="400" w:lineRule="exact"/>
        <w:ind w:firstLine="420" w:firstLineChars="200"/>
        <w:rPr>
          <w:rFonts w:ascii="Times New Roman" w:hAnsi="Times New Roman" w:eastAsia="方正仿宋_GB2312" w:cs="Times New Roman"/>
          <w:sz w:val="21"/>
          <w:szCs w:val="21"/>
        </w:rPr>
      </w:pPr>
      <w:r>
        <w:rPr>
          <w:rFonts w:ascii="Times New Roman" w:hAnsi="Times New Roman" w:eastAsia="方正仿宋_GB2312" w:cs="Times New Roman"/>
          <w:sz w:val="21"/>
          <w:szCs w:val="21"/>
        </w:rPr>
        <w:t>功能单位是用于量化产品碳足迹的基准，应选择能够准确反映</w:t>
      </w:r>
      <w:r>
        <w:rPr>
          <w:rFonts w:hint="eastAsia" w:ascii="Times New Roman" w:hAnsi="Times New Roman" w:eastAsia="方正仿宋_GB2312" w:cs="Times New Roman"/>
          <w:sz w:val="21"/>
          <w:szCs w:val="21"/>
        </w:rPr>
        <w:t>煤矸石制微晶玻璃</w:t>
      </w:r>
      <w:r>
        <w:rPr>
          <w:rFonts w:ascii="Times New Roman" w:hAnsi="Times New Roman" w:eastAsia="方正仿宋_GB2312" w:cs="Times New Roman"/>
          <w:sz w:val="21"/>
          <w:szCs w:val="21"/>
        </w:rPr>
        <w:t>核心功能的物理量作为功能单位。</w:t>
      </w:r>
      <w:r>
        <w:rPr>
          <w:rFonts w:hint="eastAsia" w:ascii="Times New Roman" w:hAnsi="Times New Roman" w:eastAsia="方正仿宋_GB2312" w:cs="Times New Roman"/>
          <w:sz w:val="21"/>
          <w:szCs w:val="21"/>
        </w:rPr>
        <w:t>煤矸石制微晶玻璃</w:t>
      </w:r>
      <w:r>
        <w:rPr>
          <w:rFonts w:ascii="Times New Roman" w:hAnsi="Times New Roman" w:eastAsia="方正仿宋_GB2312" w:cs="Times New Roman"/>
          <w:sz w:val="21"/>
          <w:szCs w:val="21"/>
        </w:rPr>
        <w:t>以</w:t>
      </w:r>
      <w:r>
        <w:rPr>
          <w:rFonts w:hint="eastAsia" w:ascii="Times New Roman" w:hAnsi="Times New Roman" w:eastAsia="方正仿宋_GB2312" w:cs="Times New Roman"/>
          <w:sz w:val="21"/>
          <w:szCs w:val="21"/>
        </w:rPr>
        <w:t>重</w:t>
      </w:r>
      <w:r>
        <w:rPr>
          <w:rFonts w:ascii="Times New Roman" w:hAnsi="Times New Roman" w:eastAsia="方正仿宋_GB2312" w:cs="Times New Roman"/>
          <w:sz w:val="21"/>
          <w:szCs w:val="21"/>
        </w:rPr>
        <w:t>量进行交易和使用，本标准选择 “1 吨</w:t>
      </w:r>
      <w:r>
        <w:rPr>
          <w:rFonts w:hint="eastAsia" w:ascii="Times New Roman" w:hAnsi="Times New Roman" w:eastAsia="方正仿宋_GB2312" w:cs="Times New Roman"/>
          <w:sz w:val="21"/>
          <w:szCs w:val="21"/>
        </w:rPr>
        <w:t>煤矸石制微晶玻璃</w:t>
      </w:r>
      <w:r>
        <w:rPr>
          <w:rFonts w:ascii="Times New Roman" w:hAnsi="Times New Roman" w:eastAsia="方正仿宋_GB2312" w:cs="Times New Roman"/>
          <w:sz w:val="21"/>
          <w:szCs w:val="21"/>
        </w:rPr>
        <w:t>” 作为功能单位。在进行碳足迹核算时，所有的输入输出数据都应归一化到该功能单位上，以便于不同产品或不同核算案例之间比较。</w:t>
      </w:r>
    </w:p>
    <w:p w14:paraId="1C09FAF3">
      <w:pPr>
        <w:pStyle w:val="4"/>
        <w:keepNext w:val="0"/>
        <w:keepLines w:val="0"/>
        <w:widowControl/>
        <w:spacing w:before="0" w:after="0" w:line="400" w:lineRule="exact"/>
        <w:rPr>
          <w:rFonts w:ascii="宋体" w:hAnsi="宋体" w:eastAsia="宋体" w:cs="宋体"/>
          <w:b/>
          <w:bCs/>
          <w:color w:val="auto"/>
          <w:sz w:val="21"/>
          <w:szCs w:val="21"/>
        </w:rPr>
      </w:pPr>
      <w:bookmarkStart w:id="28" w:name="_Toc15002"/>
      <w:r>
        <w:rPr>
          <w:rFonts w:hint="eastAsia" w:ascii="宋体" w:hAnsi="宋体" w:eastAsia="宋体" w:cs="宋体"/>
          <w:b/>
          <w:bCs/>
          <w:color w:val="auto"/>
          <w:sz w:val="21"/>
          <w:szCs w:val="21"/>
        </w:rPr>
        <w:t>6.3</w:t>
      </w:r>
      <w:r>
        <w:rPr>
          <w:rFonts w:ascii="宋体" w:hAnsi="宋体" w:eastAsia="宋体" w:cs="宋体"/>
          <w:b/>
          <w:bCs/>
          <w:color w:val="auto"/>
          <w:sz w:val="21"/>
          <w:szCs w:val="21"/>
        </w:rPr>
        <w:t xml:space="preserve"> 系统边界 </w:t>
      </w:r>
      <w:bookmarkEnd w:id="28"/>
    </w:p>
    <w:p w14:paraId="0120B711">
      <w:pPr>
        <w:pStyle w:val="51"/>
        <w:spacing w:before="0" w:after="0" w:line="400" w:lineRule="exact"/>
        <w:ind w:firstLine="420" w:firstLineChars="200"/>
        <w:rPr>
          <w:rFonts w:ascii="Times New Roman" w:hAnsi="Times New Roman" w:eastAsia="方正仿宋_GB2312" w:cs="Times New Roman"/>
          <w:sz w:val="21"/>
          <w:szCs w:val="21"/>
        </w:rPr>
      </w:pPr>
      <w:r>
        <w:rPr>
          <w:rFonts w:hint="eastAsia" w:ascii="Times New Roman" w:hAnsi="Times New Roman" w:eastAsia="方正仿宋_GB2312" w:cs="Times New Roman"/>
          <w:sz w:val="21"/>
          <w:szCs w:val="21"/>
        </w:rPr>
        <w:t>本标准中煤矸石制微晶玻璃的系统边界设定如图1，应量化原材料与能源获取阶段和生产阶段(即图1中上</w:t>
      </w:r>
      <w:r>
        <w:rPr>
          <w:rFonts w:ascii="Times New Roman" w:hAnsi="Times New Roman" w:eastAsia="方正仿宋_GB2312" w:cs="Times New Roman"/>
          <w:sz w:val="21"/>
          <w:szCs w:val="21"/>
        </w:rPr>
        <w:t>游流</w:t>
      </w:r>
      <w:r>
        <w:rPr>
          <w:rFonts w:hint="eastAsia" w:ascii="Times New Roman" w:hAnsi="Times New Roman" w:eastAsia="方正仿宋_GB2312" w:cs="Times New Roman"/>
          <w:sz w:val="21"/>
          <w:szCs w:val="21"/>
        </w:rPr>
        <w:t>程和核心过程)。</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F6A6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5" w:hRule="atLeast"/>
        </w:trPr>
        <w:tc>
          <w:tcPr>
            <w:tcW w:w="8522" w:type="dxa"/>
            <w:tcBorders>
              <w:tl2br w:val="nil"/>
              <w:tr2bl w:val="nil"/>
            </w:tcBorders>
          </w:tcPr>
          <w:p w14:paraId="5722DB5C">
            <w:pPr>
              <w:pStyle w:val="51"/>
              <w:widowControl/>
              <w:spacing w:before="0" w:after="0" w:line="400" w:lineRule="exact"/>
              <w:jc w:val="both"/>
              <w:rPr>
                <w:rFonts w:ascii="仿宋" w:hAnsi="仿宋" w:eastAsia="仿宋" w:cs="仿宋"/>
                <w:sz w:val="21"/>
                <w:szCs w:val="21"/>
              </w:rPr>
            </w:pPr>
            <w:r>
              <w:rPr>
                <w:rFonts w:hint="eastAsia" w:ascii="仿宋" w:hAnsi="仿宋" w:eastAsia="仿宋" w:cs="仿宋"/>
                <w:sz w:val="21"/>
                <w:szCs w:val="21"/>
              </w:rPr>
              <w:drawing>
                <wp:anchor distT="0" distB="0" distL="114300" distR="114300" simplePos="0" relativeHeight="251660288" behindDoc="0" locked="0" layoutInCell="1" allowOverlap="1">
                  <wp:simplePos x="0" y="0"/>
                  <wp:positionH relativeFrom="column">
                    <wp:posOffset>85090</wp:posOffset>
                  </wp:positionH>
                  <wp:positionV relativeFrom="paragraph">
                    <wp:posOffset>121920</wp:posOffset>
                  </wp:positionV>
                  <wp:extent cx="5320665" cy="3018790"/>
                  <wp:effectExtent l="0" t="0" r="13335" b="10160"/>
                  <wp:wrapTopAndBottom/>
                  <wp:docPr id="5" name="图片 5" descr="图片制作(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制作(1)"/>
                          <pic:cNvPicPr>
                            <a:picLocks noChangeAspect="1"/>
                          </pic:cNvPicPr>
                        </pic:nvPicPr>
                        <pic:blipFill>
                          <a:blip r:embed="rId8"/>
                          <a:srcRect l="8886" t="10040" r="9065" b="7222"/>
                          <a:stretch>
                            <a:fillRect/>
                          </a:stretch>
                        </pic:blipFill>
                        <pic:spPr>
                          <a:xfrm>
                            <a:off x="0" y="0"/>
                            <a:ext cx="5320665" cy="3018790"/>
                          </a:xfrm>
                          <a:prstGeom prst="rect">
                            <a:avLst/>
                          </a:prstGeom>
                        </pic:spPr>
                      </pic:pic>
                    </a:graphicData>
                  </a:graphic>
                </wp:anchor>
              </w:drawing>
            </w:r>
          </w:p>
        </w:tc>
      </w:tr>
      <w:tr w14:paraId="34F3A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p w14:paraId="738C1E45">
            <w:pPr>
              <w:pStyle w:val="51"/>
              <w:widowControl/>
              <w:spacing w:before="0" w:after="0" w:line="400" w:lineRule="exact"/>
              <w:jc w:val="center"/>
              <w:rPr>
                <w:rFonts w:ascii="仿宋" w:hAnsi="仿宋" w:eastAsia="仿宋" w:cs="仿宋"/>
                <w:sz w:val="21"/>
                <w:szCs w:val="21"/>
              </w:rPr>
            </w:pPr>
            <w:r>
              <w:rPr>
                <w:rFonts w:hint="eastAsia" w:ascii="仿宋" w:hAnsi="仿宋" w:eastAsia="仿宋" w:cs="仿宋"/>
                <w:sz w:val="21"/>
                <w:szCs w:val="21"/>
              </w:rPr>
              <w:t>图1</w:t>
            </w:r>
            <w:r>
              <w:rPr>
                <w:rFonts w:hint="eastAsia" w:ascii="仿宋" w:hAnsi="仿宋" w:eastAsia="仿宋" w:cs="仿宋"/>
                <w:sz w:val="24"/>
                <w:szCs w:val="24"/>
              </w:rPr>
              <w:t xml:space="preserve"> </w:t>
            </w:r>
            <w:r>
              <w:rPr>
                <w:rFonts w:hint="eastAsia" w:ascii="仿宋" w:hAnsi="仿宋" w:eastAsia="仿宋" w:cs="仿宋"/>
                <w:sz w:val="21"/>
                <w:szCs w:val="21"/>
              </w:rPr>
              <w:t>煤矸石制微晶玻璃的系统边界</w:t>
            </w:r>
          </w:p>
        </w:tc>
      </w:tr>
    </w:tbl>
    <w:p w14:paraId="0ECAA628">
      <w:pPr>
        <w:pStyle w:val="51"/>
        <w:spacing w:before="0" w:after="0" w:line="400" w:lineRule="exact"/>
        <w:ind w:firstLine="420" w:firstLineChars="200"/>
        <w:rPr>
          <w:rFonts w:ascii="仿宋" w:hAnsi="仿宋" w:eastAsia="仿宋" w:cs="仿宋"/>
          <w:sz w:val="21"/>
          <w:szCs w:val="21"/>
        </w:rPr>
      </w:pPr>
      <w:r>
        <w:rPr>
          <w:rFonts w:hint="eastAsia" w:ascii="仿宋" w:hAnsi="仿宋" w:eastAsia="仿宋" w:cs="仿宋"/>
          <w:sz w:val="21"/>
          <w:szCs w:val="21"/>
        </w:rPr>
        <w:t>系统边界的确定应基于对煤矸石制微晶玻璃生命周期的全面分析，明确哪些过程和活动应纳入碳足迹核算范围，哪些应排除在外。在确定系统边界时，需综合考虑以下因素：</w:t>
      </w:r>
    </w:p>
    <w:p w14:paraId="65D67AA5">
      <w:pPr>
        <w:pStyle w:val="51"/>
        <w:spacing w:before="0" w:after="0" w:line="400" w:lineRule="exact"/>
        <w:ind w:firstLine="422" w:firstLineChars="200"/>
        <w:rPr>
          <w:rFonts w:ascii="仿宋" w:hAnsi="仿宋" w:eastAsia="仿宋" w:cs="仿宋"/>
          <w:sz w:val="21"/>
          <w:szCs w:val="21"/>
        </w:rPr>
      </w:pPr>
      <w:r>
        <w:rPr>
          <w:rFonts w:hint="eastAsia" w:ascii="仿宋" w:hAnsi="仿宋" w:eastAsia="仿宋" w:cs="仿宋"/>
          <w:b/>
          <w:bCs/>
          <w:sz w:val="21"/>
          <w:szCs w:val="21"/>
        </w:rPr>
        <w:t>物理边界</w:t>
      </w:r>
      <w:r>
        <w:rPr>
          <w:rFonts w:hint="eastAsia" w:ascii="仿宋" w:hAnsi="仿宋" w:eastAsia="仿宋" w:cs="仿宋"/>
          <w:sz w:val="21"/>
          <w:szCs w:val="21"/>
        </w:rPr>
        <w:t>：涵盖产品生命周期中所有涉及物质和能量流动的物理过程，从原材料的开采地到产品的最终废弃处理地。例如，煤矸石的开采地点可能涉及多个矿区，应明确具体纳入核算的矿区范围；产品的运输路线可能经过多个地区，需确定运输过程中所涉及的具体地理区域。</w:t>
      </w:r>
    </w:p>
    <w:p w14:paraId="25DCC3EB">
      <w:pPr>
        <w:pStyle w:val="51"/>
        <w:spacing w:before="0" w:after="0" w:line="400" w:lineRule="exact"/>
        <w:ind w:firstLine="422" w:firstLineChars="200"/>
        <w:rPr>
          <w:rFonts w:ascii="仿宋" w:hAnsi="仿宋" w:eastAsia="仿宋" w:cs="仿宋"/>
          <w:sz w:val="21"/>
          <w:szCs w:val="21"/>
        </w:rPr>
      </w:pPr>
      <w:r>
        <w:rPr>
          <w:rFonts w:hint="eastAsia" w:ascii="仿宋" w:hAnsi="仿宋" w:eastAsia="仿宋" w:cs="仿宋"/>
          <w:b/>
          <w:bCs/>
          <w:sz w:val="21"/>
          <w:szCs w:val="21"/>
        </w:rPr>
        <w:t>操作边界</w:t>
      </w:r>
      <w:r>
        <w:rPr>
          <w:rFonts w:hint="eastAsia" w:ascii="仿宋" w:hAnsi="仿宋" w:eastAsia="仿宋" w:cs="仿宋"/>
          <w:sz w:val="21"/>
          <w:szCs w:val="21"/>
        </w:rPr>
        <w:t>：确定产品系统内各操作环节的起止点。例如，在生产制造过程中，从原材料进入生产车间开始，到成品离开生产车间为止的所有生产操作过程均应纳入系统边界；对于运输环节，从原材料装载到运输工具上开始，到成品卸载至目的地仓库结束的运输操作过程属于系统边界内。</w:t>
      </w:r>
    </w:p>
    <w:p w14:paraId="666594E8">
      <w:pPr>
        <w:pStyle w:val="51"/>
        <w:spacing w:before="0" w:after="0" w:line="400" w:lineRule="exact"/>
        <w:ind w:firstLine="422" w:firstLineChars="200"/>
        <w:rPr>
          <w:rFonts w:ascii="仿宋" w:hAnsi="仿宋" w:eastAsia="仿宋" w:cs="仿宋"/>
          <w:sz w:val="21"/>
          <w:szCs w:val="21"/>
        </w:rPr>
      </w:pPr>
      <w:r>
        <w:rPr>
          <w:rFonts w:hint="eastAsia" w:ascii="仿宋" w:hAnsi="仿宋" w:eastAsia="仿宋" w:cs="仿宋"/>
          <w:b/>
          <w:bCs/>
          <w:sz w:val="21"/>
          <w:szCs w:val="21"/>
        </w:rPr>
        <w:t>时间边界</w:t>
      </w:r>
      <w:r>
        <w:rPr>
          <w:rFonts w:hint="eastAsia" w:ascii="仿宋" w:hAnsi="仿宋" w:eastAsia="仿宋" w:cs="仿宋"/>
          <w:sz w:val="21"/>
          <w:szCs w:val="21"/>
        </w:rPr>
        <w:t>：明确核算所涵盖的时间范围。对于原材料开采，应确定开采活动的时间跨度；对于产品生产，需明确生产设备的运行时间周期；对于产品的使用阶段，应根据产品的预期使用寿命确定核算时间范围；废弃处理阶段则从产品废弃开始到最终处理完成的时间段。在确定时间边界时，应确保数据的时效性和代表性，避免因时间差异导致数据不能准确反映产品当前的碳足迹情况。</w:t>
      </w:r>
    </w:p>
    <w:p w14:paraId="629A862E">
      <w:pPr>
        <w:pStyle w:val="51"/>
        <w:spacing w:before="0" w:after="0" w:line="400" w:lineRule="exact"/>
        <w:ind w:firstLine="422" w:firstLineChars="200"/>
        <w:rPr>
          <w:rFonts w:ascii="仿宋" w:hAnsi="仿宋" w:eastAsia="仿宋" w:cs="仿宋"/>
          <w:sz w:val="21"/>
          <w:szCs w:val="21"/>
        </w:rPr>
      </w:pPr>
      <w:r>
        <w:rPr>
          <w:rFonts w:hint="eastAsia" w:ascii="仿宋" w:hAnsi="仿宋" w:eastAsia="仿宋" w:cs="仿宋"/>
          <w:b/>
          <w:bCs/>
          <w:sz w:val="21"/>
          <w:szCs w:val="21"/>
        </w:rPr>
        <w:t>取舍准则</w:t>
      </w:r>
      <w:r>
        <w:rPr>
          <w:rFonts w:hint="eastAsia" w:ascii="仿宋" w:hAnsi="仿宋" w:eastAsia="仿宋" w:cs="仿宋"/>
          <w:sz w:val="21"/>
          <w:szCs w:val="21"/>
        </w:rPr>
        <w:t>：对于某些对碳足迹贡献较小的过程或活动，在满足准确性和完整性原则的前提下，可以根据一定的取舍准则将其排除在系统边界之外。例如，对于一些辅助材料的获取过程，如果其运输距离较短且使用量极少，对总体碳足迹的影响微乎其微，可不纳入核算范围。但在报告中应明确说明所采用的取舍准则以及被排除的过程或活动。</w:t>
      </w:r>
    </w:p>
    <w:p w14:paraId="0BC97120">
      <w:pPr>
        <w:pStyle w:val="51"/>
        <w:spacing w:before="0" w:after="0" w:line="400" w:lineRule="exact"/>
        <w:ind w:firstLine="422" w:firstLineChars="200"/>
        <w:rPr>
          <w:rFonts w:ascii="仿宋" w:hAnsi="仿宋" w:eastAsia="仿宋" w:cs="仿宋"/>
          <w:sz w:val="21"/>
          <w:szCs w:val="21"/>
        </w:rPr>
      </w:pPr>
      <w:r>
        <w:rPr>
          <w:rFonts w:hint="eastAsia" w:ascii="仿宋" w:hAnsi="仿宋" w:eastAsia="仿宋" w:cs="仿宋"/>
          <w:b/>
          <w:bCs/>
          <w:sz w:val="21"/>
          <w:szCs w:val="21"/>
        </w:rPr>
        <w:t>完整性原则：</w:t>
      </w:r>
      <w:r>
        <w:rPr>
          <w:rFonts w:hint="eastAsia" w:ascii="仿宋" w:hAnsi="仿宋" w:eastAsia="仿宋" w:cs="仿宋"/>
          <w:sz w:val="21"/>
          <w:szCs w:val="21"/>
        </w:rPr>
        <w:t>从播篮到坟墓:包含生产阶段、施工阶段、使用阶段和生命末期阶段的全部信息模块，其LCA 结果应基于功能单位。对于处于大门外的信息模块应基于情景假设,并按9.4的要求描述所使用的情景假设。情景假设宜包含相关预设参数以及作为其量化依据的技术信息。情景假设可只包含用于计算环境绩效的相关技术信息。当某个信息模块不涉及预期活动时,宜在该模块的情景假设与评价中予以说明,而非直接声明该模块与从摇篮到坟墓的EPD不相关或不适用。</w:t>
      </w:r>
    </w:p>
    <w:p w14:paraId="36E74BB9">
      <w:pPr>
        <w:pStyle w:val="3"/>
        <w:spacing w:before="80"/>
        <w:rPr>
          <w:rFonts w:ascii="宋体" w:hAnsi="宋体" w:eastAsia="宋体" w:cs="宋体"/>
          <w:b/>
          <w:bCs/>
          <w:color w:val="auto"/>
          <w:sz w:val="21"/>
          <w:szCs w:val="21"/>
        </w:rPr>
      </w:pPr>
      <w:bookmarkStart w:id="29" w:name="_Toc25333"/>
      <w:bookmarkStart w:id="30" w:name="_Toc6534"/>
      <w:bookmarkStart w:id="31" w:name="_Toc5648"/>
      <w:r>
        <w:rPr>
          <w:rFonts w:hint="eastAsia" w:ascii="宋体" w:hAnsi="宋体" w:eastAsia="宋体" w:cs="宋体"/>
          <w:b/>
          <w:bCs/>
          <w:color w:val="auto"/>
          <w:sz w:val="21"/>
          <w:szCs w:val="21"/>
        </w:rPr>
        <w:t>7</w:t>
      </w:r>
      <w:bookmarkEnd w:id="29"/>
      <w:bookmarkEnd w:id="30"/>
      <w:r>
        <w:rPr>
          <w:rFonts w:hint="eastAsia" w:ascii="宋体" w:hAnsi="宋体" w:eastAsia="宋体" w:cs="宋体"/>
          <w:b/>
          <w:bCs/>
          <w:color w:val="auto"/>
          <w:sz w:val="21"/>
          <w:szCs w:val="21"/>
        </w:rPr>
        <w:t>数据和数据质量</w:t>
      </w:r>
      <w:bookmarkEnd w:id="31"/>
    </w:p>
    <w:p w14:paraId="07F95E8E">
      <w:pPr>
        <w:pStyle w:val="4"/>
        <w:keepNext w:val="0"/>
        <w:keepLines w:val="0"/>
        <w:widowControl/>
        <w:spacing w:before="0" w:after="0" w:line="400" w:lineRule="exact"/>
        <w:rPr>
          <w:rFonts w:ascii="宋体" w:hAnsi="宋体" w:eastAsia="宋体" w:cs="宋体"/>
          <w:b/>
          <w:bCs/>
          <w:color w:val="auto"/>
          <w:sz w:val="21"/>
          <w:szCs w:val="21"/>
        </w:rPr>
      </w:pPr>
      <w:bookmarkStart w:id="32" w:name="_Toc21468"/>
      <w:r>
        <w:rPr>
          <w:rFonts w:hint="eastAsia" w:ascii="宋体" w:hAnsi="宋体" w:eastAsia="宋体" w:cs="宋体"/>
          <w:b/>
          <w:bCs/>
          <w:color w:val="auto"/>
          <w:sz w:val="21"/>
          <w:szCs w:val="21"/>
        </w:rPr>
        <w:t>7.1数据描述</w:t>
      </w:r>
      <w:bookmarkEnd w:id="32"/>
    </w:p>
    <w:p w14:paraId="5E3F8A72">
      <w:pPr>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煤矸石制煤矸石制微晶玻璃的碳足迹量化需要收集现场数据和背景数据。</w:t>
      </w:r>
    </w:p>
    <w:p w14:paraId="4D22FD4B">
      <w:pPr>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现场数据是煤矸石制煤矸石制微晶玻璃生产阶段各工序或单元的活动数据，是基于实际测量、统计等方式得到的生命周期清单数据，如产品生产阶段的原辅料和能源消耗量、产品产出量、废弃物排放量以及运输量（包括运输方式、运输距离）等。现场数据均为初级数据。</w:t>
      </w:r>
    </w:p>
    <w:p w14:paraId="6C6C7E71">
      <w:pPr>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背景数据是无法从现有产品系统中获得的,通常来源于现有的本土化或国际LCA 数据库、经第三方权威机构认证的产品碳足迹(CFP)或环境产品声明(EPD)报告、公开发表的高质量学术文献等。可量化背景数据为初级数据,如供应商或服务商提供基于现场数据计算得到的生命周期清单数据:背景数据不能量化则为次级数据,如外购原辅材料和燃料的上游排放因子、运输排放因子、废弃物处置排放因子等。</w:t>
      </w:r>
    </w:p>
    <w:p w14:paraId="337057DF">
      <w:pPr>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仅在收集初级数据不可行时,次级数据才能用于输人和输出,或用于重要性较低的过程。引用次级数据宜证明其适用性和可信度,并注明数据来源及选取思路。</w:t>
      </w:r>
    </w:p>
    <w:p w14:paraId="37422775">
      <w:pPr>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煤矸石制煤矸石制微晶玻璃系统边界内涉及的主要数据描述示例见表1。</w:t>
      </w:r>
    </w:p>
    <w:p w14:paraId="2FCA57AD">
      <w:pPr>
        <w:pStyle w:val="2"/>
        <w:jc w:val="center"/>
        <w:rPr>
          <w:rFonts w:ascii="仿宋" w:hAnsi="仿宋" w:eastAsia="仿宋" w:cs="仿宋"/>
          <w:kern w:val="0"/>
          <w:sz w:val="21"/>
          <w:szCs w:val="21"/>
        </w:rPr>
      </w:pPr>
      <w:r>
        <w:rPr>
          <w:rFonts w:hint="eastAsia" w:ascii="仿宋" w:hAnsi="仿宋" w:eastAsia="仿宋" w:cs="仿宋"/>
          <w:kern w:val="0"/>
          <w:sz w:val="21"/>
          <w:szCs w:val="21"/>
        </w:rPr>
        <w:t>表1 主要数据描述示例</w:t>
      </w:r>
    </w:p>
    <w:tbl>
      <w:tblPr>
        <w:tblStyle w:val="24"/>
        <w:tblW w:w="4998"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1"/>
        <w:gridCol w:w="1116"/>
        <w:gridCol w:w="2275"/>
        <w:gridCol w:w="4037"/>
      </w:tblGrid>
      <w:tr w14:paraId="126A310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640" w:type="pct"/>
            <w:tcBorders>
              <w:bottom w:val="single" w:color="000000" w:sz="4" w:space="0"/>
            </w:tcBorders>
            <w:vAlign w:val="center"/>
          </w:tcPr>
          <w:p w14:paraId="4E87634E">
            <w:pPr>
              <w:pStyle w:val="2"/>
              <w:jc w:val="center"/>
              <w:rPr>
                <w:rFonts w:ascii="仿宋" w:hAnsi="仿宋" w:eastAsia="仿宋" w:cs="仿宋"/>
                <w:b/>
                <w:bCs/>
                <w:kern w:val="0"/>
                <w:sz w:val="21"/>
                <w:szCs w:val="21"/>
              </w:rPr>
            </w:pPr>
            <w:r>
              <w:rPr>
                <w:rFonts w:hint="eastAsia" w:ascii="仿宋" w:hAnsi="仿宋" w:eastAsia="仿宋" w:cs="仿宋"/>
                <w:b/>
                <w:bCs/>
                <w:kern w:val="0"/>
                <w:sz w:val="21"/>
                <w:szCs w:val="21"/>
              </w:rPr>
              <w:t>数据层级</w:t>
            </w:r>
          </w:p>
        </w:tc>
        <w:tc>
          <w:tcPr>
            <w:tcW w:w="655" w:type="pct"/>
            <w:tcBorders>
              <w:bottom w:val="single" w:color="000000" w:sz="4" w:space="0"/>
            </w:tcBorders>
            <w:vAlign w:val="center"/>
          </w:tcPr>
          <w:p w14:paraId="76984762">
            <w:pPr>
              <w:pStyle w:val="2"/>
              <w:jc w:val="center"/>
              <w:rPr>
                <w:rFonts w:ascii="仿宋" w:hAnsi="仿宋" w:eastAsia="仿宋" w:cs="仿宋"/>
                <w:b/>
                <w:bCs/>
                <w:kern w:val="0"/>
                <w:sz w:val="21"/>
                <w:szCs w:val="21"/>
              </w:rPr>
            </w:pPr>
            <w:r>
              <w:rPr>
                <w:rFonts w:hint="eastAsia" w:ascii="仿宋" w:hAnsi="仿宋" w:eastAsia="仿宋" w:cs="仿宋"/>
                <w:b/>
                <w:bCs/>
                <w:kern w:val="0"/>
                <w:sz w:val="21"/>
                <w:szCs w:val="21"/>
              </w:rPr>
              <w:t>数据流向</w:t>
            </w:r>
          </w:p>
        </w:tc>
        <w:tc>
          <w:tcPr>
            <w:tcW w:w="1334" w:type="pct"/>
            <w:tcBorders>
              <w:bottom w:val="single" w:color="000000" w:sz="4" w:space="0"/>
            </w:tcBorders>
            <w:vAlign w:val="center"/>
          </w:tcPr>
          <w:p w14:paraId="67BD3C1D">
            <w:pPr>
              <w:pStyle w:val="2"/>
              <w:jc w:val="center"/>
              <w:rPr>
                <w:rFonts w:ascii="仿宋" w:hAnsi="仿宋" w:eastAsia="仿宋" w:cs="仿宋"/>
                <w:b/>
                <w:bCs/>
                <w:kern w:val="0"/>
                <w:sz w:val="21"/>
                <w:szCs w:val="21"/>
              </w:rPr>
            </w:pPr>
            <w:r>
              <w:rPr>
                <w:rFonts w:hint="eastAsia" w:ascii="仿宋" w:hAnsi="仿宋" w:eastAsia="仿宋" w:cs="仿宋"/>
                <w:b/>
                <w:bCs/>
                <w:kern w:val="0"/>
                <w:sz w:val="21"/>
                <w:szCs w:val="21"/>
              </w:rPr>
              <w:t>数据类别</w:t>
            </w:r>
          </w:p>
        </w:tc>
        <w:tc>
          <w:tcPr>
            <w:tcW w:w="2369" w:type="pct"/>
            <w:tcBorders>
              <w:bottom w:val="single" w:color="000000" w:sz="4" w:space="0"/>
            </w:tcBorders>
            <w:vAlign w:val="center"/>
          </w:tcPr>
          <w:p w14:paraId="1AE3F3F6">
            <w:pPr>
              <w:pStyle w:val="2"/>
              <w:jc w:val="center"/>
              <w:rPr>
                <w:rFonts w:ascii="仿宋" w:hAnsi="仿宋" w:eastAsia="仿宋" w:cs="仿宋"/>
                <w:b/>
                <w:bCs/>
                <w:kern w:val="0"/>
                <w:sz w:val="21"/>
                <w:szCs w:val="21"/>
              </w:rPr>
            </w:pPr>
            <w:r>
              <w:rPr>
                <w:rFonts w:hint="eastAsia" w:ascii="仿宋" w:hAnsi="仿宋" w:eastAsia="仿宋" w:cs="仿宋"/>
                <w:b/>
                <w:bCs/>
                <w:kern w:val="0"/>
                <w:sz w:val="21"/>
                <w:szCs w:val="21"/>
              </w:rPr>
              <w:t>清单名称</w:t>
            </w:r>
          </w:p>
        </w:tc>
      </w:tr>
      <w:tr w14:paraId="5D5B1D7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restart"/>
            <w:tcBorders>
              <w:top w:val="single" w:color="000000" w:sz="4" w:space="0"/>
              <w:bottom w:val="single" w:color="000000" w:sz="4" w:space="0"/>
              <w:tl2br w:val="nil"/>
              <w:tr2bl w:val="nil"/>
            </w:tcBorders>
            <w:vAlign w:val="center"/>
          </w:tcPr>
          <w:p w14:paraId="18093159">
            <w:pPr>
              <w:pStyle w:val="2"/>
              <w:jc w:val="center"/>
              <w:rPr>
                <w:rFonts w:ascii="仿宋" w:hAnsi="仿宋" w:eastAsia="仿宋" w:cs="仿宋"/>
                <w:kern w:val="0"/>
                <w:sz w:val="21"/>
                <w:szCs w:val="21"/>
              </w:rPr>
            </w:pPr>
            <w:r>
              <w:rPr>
                <w:rFonts w:hint="eastAsia" w:ascii="仿宋" w:hAnsi="仿宋" w:eastAsia="仿宋" w:cs="仿宋"/>
                <w:kern w:val="0"/>
                <w:sz w:val="21"/>
                <w:szCs w:val="21"/>
              </w:rPr>
              <w:t>现场</w:t>
            </w:r>
          </w:p>
          <w:p w14:paraId="4756B166">
            <w:pPr>
              <w:pStyle w:val="2"/>
              <w:jc w:val="center"/>
              <w:rPr>
                <w:rFonts w:ascii="仿宋" w:hAnsi="仿宋" w:eastAsia="仿宋" w:cs="仿宋"/>
                <w:kern w:val="0"/>
                <w:sz w:val="21"/>
                <w:szCs w:val="21"/>
              </w:rPr>
            </w:pPr>
            <w:r>
              <w:rPr>
                <w:rFonts w:hint="eastAsia" w:ascii="仿宋" w:hAnsi="仿宋" w:eastAsia="仿宋" w:cs="仿宋"/>
                <w:kern w:val="0"/>
                <w:sz w:val="21"/>
                <w:szCs w:val="21"/>
              </w:rPr>
              <w:t>数据</w:t>
            </w:r>
          </w:p>
        </w:tc>
        <w:tc>
          <w:tcPr>
            <w:tcW w:w="655" w:type="pct"/>
            <w:vMerge w:val="restart"/>
            <w:tcBorders>
              <w:top w:val="single" w:color="000000" w:sz="4" w:space="0"/>
              <w:bottom w:val="single" w:color="000000" w:sz="4" w:space="0"/>
              <w:tl2br w:val="nil"/>
              <w:tr2bl w:val="nil"/>
            </w:tcBorders>
            <w:vAlign w:val="center"/>
          </w:tcPr>
          <w:p w14:paraId="2146855E">
            <w:pPr>
              <w:pStyle w:val="2"/>
              <w:jc w:val="center"/>
              <w:rPr>
                <w:rFonts w:ascii="仿宋" w:hAnsi="仿宋" w:eastAsia="仿宋" w:cs="仿宋"/>
                <w:kern w:val="0"/>
                <w:sz w:val="21"/>
                <w:szCs w:val="21"/>
              </w:rPr>
            </w:pPr>
            <w:r>
              <w:rPr>
                <w:rFonts w:hint="eastAsia" w:ascii="仿宋" w:hAnsi="仿宋" w:eastAsia="仿宋" w:cs="仿宋"/>
                <w:kern w:val="0"/>
                <w:sz w:val="21"/>
                <w:szCs w:val="21"/>
              </w:rPr>
              <w:t>输入</w:t>
            </w:r>
          </w:p>
        </w:tc>
        <w:tc>
          <w:tcPr>
            <w:tcW w:w="1334" w:type="pct"/>
            <w:tcBorders>
              <w:top w:val="single" w:color="000000" w:sz="4" w:space="0"/>
              <w:bottom w:val="nil"/>
            </w:tcBorders>
            <w:vAlign w:val="center"/>
          </w:tcPr>
          <w:p w14:paraId="1B4553D4">
            <w:pPr>
              <w:pStyle w:val="2"/>
              <w:jc w:val="center"/>
              <w:rPr>
                <w:rFonts w:ascii="仿宋" w:hAnsi="仿宋" w:eastAsia="仿宋" w:cs="仿宋"/>
                <w:kern w:val="0"/>
                <w:sz w:val="21"/>
                <w:szCs w:val="21"/>
              </w:rPr>
            </w:pPr>
            <w:r>
              <w:rPr>
                <w:rFonts w:hint="eastAsia" w:ascii="仿宋" w:hAnsi="仿宋" w:eastAsia="仿宋" w:cs="仿宋"/>
                <w:kern w:val="0"/>
                <w:sz w:val="21"/>
                <w:szCs w:val="21"/>
              </w:rPr>
              <w:t>原材料/物料</w:t>
            </w:r>
          </w:p>
        </w:tc>
        <w:tc>
          <w:tcPr>
            <w:tcW w:w="2369" w:type="pct"/>
            <w:tcBorders>
              <w:top w:val="single" w:color="000000" w:sz="4" w:space="0"/>
              <w:bottom w:val="nil"/>
            </w:tcBorders>
            <w:vAlign w:val="center"/>
          </w:tcPr>
          <w:p w14:paraId="3FC00AC4">
            <w:pPr>
              <w:pStyle w:val="2"/>
              <w:jc w:val="center"/>
              <w:rPr>
                <w:rFonts w:ascii="仿宋" w:hAnsi="仿宋" w:eastAsia="仿宋" w:cs="仿宋"/>
                <w:kern w:val="0"/>
                <w:sz w:val="21"/>
                <w:szCs w:val="21"/>
              </w:rPr>
            </w:pPr>
            <w:r>
              <w:rPr>
                <w:rFonts w:hint="eastAsia" w:ascii="仿宋" w:hAnsi="仿宋" w:eastAsia="仿宋" w:cs="仿宋"/>
                <w:kern w:val="0"/>
                <w:sz w:val="21"/>
                <w:szCs w:val="21"/>
              </w:rPr>
              <w:t>水</w:t>
            </w:r>
          </w:p>
        </w:tc>
      </w:tr>
      <w:tr w14:paraId="0818945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op w:val="single" w:color="000000" w:sz="4" w:space="0"/>
              <w:tl2br w:val="nil"/>
              <w:tr2bl w:val="nil"/>
            </w:tcBorders>
            <w:vAlign w:val="center"/>
          </w:tcPr>
          <w:p w14:paraId="59B9B86F">
            <w:pPr>
              <w:pStyle w:val="2"/>
              <w:jc w:val="center"/>
              <w:rPr>
                <w:rFonts w:ascii="仿宋" w:hAnsi="仿宋" w:eastAsia="仿宋" w:cs="仿宋"/>
                <w:kern w:val="0"/>
                <w:sz w:val="21"/>
                <w:szCs w:val="21"/>
              </w:rPr>
            </w:pPr>
          </w:p>
        </w:tc>
        <w:tc>
          <w:tcPr>
            <w:tcW w:w="655" w:type="pct"/>
            <w:vMerge w:val="continue"/>
            <w:tcBorders>
              <w:top w:val="single" w:color="000000" w:sz="4" w:space="0"/>
              <w:tl2br w:val="nil"/>
              <w:tr2bl w:val="nil"/>
            </w:tcBorders>
            <w:vAlign w:val="center"/>
          </w:tcPr>
          <w:p w14:paraId="3A5A190E">
            <w:pPr>
              <w:pStyle w:val="2"/>
              <w:jc w:val="center"/>
              <w:rPr>
                <w:rFonts w:ascii="仿宋" w:hAnsi="仿宋" w:eastAsia="仿宋" w:cs="仿宋"/>
                <w:kern w:val="0"/>
                <w:sz w:val="21"/>
                <w:szCs w:val="21"/>
              </w:rPr>
            </w:pPr>
          </w:p>
        </w:tc>
        <w:tc>
          <w:tcPr>
            <w:tcW w:w="1334" w:type="pct"/>
            <w:tcBorders>
              <w:top w:val="nil"/>
              <w:tl2br w:val="nil"/>
              <w:tr2bl w:val="nil"/>
            </w:tcBorders>
            <w:vAlign w:val="center"/>
          </w:tcPr>
          <w:p w14:paraId="352895A3">
            <w:pPr>
              <w:pStyle w:val="2"/>
              <w:jc w:val="center"/>
              <w:rPr>
                <w:rFonts w:ascii="仿宋" w:hAnsi="仿宋" w:eastAsia="仿宋" w:cs="仿宋"/>
                <w:kern w:val="0"/>
                <w:sz w:val="21"/>
                <w:szCs w:val="21"/>
              </w:rPr>
            </w:pPr>
            <w:r>
              <w:rPr>
                <w:rFonts w:hint="eastAsia" w:ascii="仿宋" w:hAnsi="仿宋" w:eastAsia="仿宋" w:cs="仿宋"/>
                <w:kern w:val="0"/>
                <w:sz w:val="21"/>
                <w:szCs w:val="21"/>
              </w:rPr>
              <w:t>原材料/物料</w:t>
            </w:r>
          </w:p>
        </w:tc>
        <w:tc>
          <w:tcPr>
            <w:tcW w:w="2369" w:type="pct"/>
            <w:tcBorders>
              <w:top w:val="nil"/>
              <w:tl2br w:val="nil"/>
              <w:tr2bl w:val="nil"/>
            </w:tcBorders>
            <w:vAlign w:val="center"/>
          </w:tcPr>
          <w:p w14:paraId="575EFFED">
            <w:pPr>
              <w:pStyle w:val="2"/>
              <w:jc w:val="center"/>
              <w:rPr>
                <w:rFonts w:ascii="仿宋" w:hAnsi="仿宋" w:eastAsia="仿宋" w:cs="仿宋"/>
                <w:kern w:val="0"/>
                <w:sz w:val="21"/>
                <w:szCs w:val="21"/>
              </w:rPr>
            </w:pPr>
            <w:r>
              <w:rPr>
                <w:rFonts w:hint="eastAsia" w:ascii="仿宋" w:hAnsi="仿宋" w:eastAsia="仿宋" w:cs="仿宋"/>
                <w:kern w:val="0"/>
                <w:sz w:val="21"/>
                <w:szCs w:val="21"/>
              </w:rPr>
              <w:t>煤矸石</w:t>
            </w:r>
          </w:p>
        </w:tc>
      </w:tr>
      <w:tr w14:paraId="1C38CF7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l2br w:val="nil"/>
              <w:tr2bl w:val="nil"/>
            </w:tcBorders>
            <w:vAlign w:val="center"/>
          </w:tcPr>
          <w:p w14:paraId="5E008CA3">
            <w:pPr>
              <w:pStyle w:val="2"/>
              <w:jc w:val="center"/>
              <w:rPr>
                <w:rFonts w:ascii="仿宋" w:hAnsi="仿宋" w:eastAsia="仿宋" w:cs="仿宋"/>
                <w:kern w:val="0"/>
                <w:sz w:val="21"/>
                <w:szCs w:val="21"/>
              </w:rPr>
            </w:pPr>
          </w:p>
        </w:tc>
        <w:tc>
          <w:tcPr>
            <w:tcW w:w="655" w:type="pct"/>
            <w:vMerge w:val="continue"/>
            <w:tcBorders>
              <w:tl2br w:val="nil"/>
              <w:tr2bl w:val="nil"/>
            </w:tcBorders>
            <w:vAlign w:val="center"/>
          </w:tcPr>
          <w:p w14:paraId="17E44F15">
            <w:pPr>
              <w:pStyle w:val="2"/>
              <w:jc w:val="center"/>
              <w:rPr>
                <w:rFonts w:ascii="仿宋" w:hAnsi="仿宋" w:eastAsia="仿宋" w:cs="仿宋"/>
                <w:kern w:val="0"/>
                <w:sz w:val="21"/>
                <w:szCs w:val="21"/>
              </w:rPr>
            </w:pPr>
          </w:p>
        </w:tc>
        <w:tc>
          <w:tcPr>
            <w:tcW w:w="1334" w:type="pct"/>
            <w:tcBorders>
              <w:tl2br w:val="nil"/>
              <w:tr2bl w:val="nil"/>
            </w:tcBorders>
            <w:vAlign w:val="center"/>
          </w:tcPr>
          <w:p w14:paraId="5B3207F6">
            <w:pPr>
              <w:pStyle w:val="2"/>
              <w:jc w:val="center"/>
              <w:rPr>
                <w:rFonts w:ascii="仿宋" w:hAnsi="仿宋" w:eastAsia="仿宋" w:cs="仿宋"/>
                <w:kern w:val="0"/>
                <w:sz w:val="21"/>
                <w:szCs w:val="21"/>
              </w:rPr>
            </w:pPr>
            <w:r>
              <w:rPr>
                <w:rFonts w:hint="eastAsia" w:ascii="仿宋" w:hAnsi="仿宋" w:eastAsia="仿宋" w:cs="仿宋"/>
                <w:kern w:val="0"/>
                <w:sz w:val="21"/>
                <w:szCs w:val="21"/>
              </w:rPr>
              <w:t>原材料/物料</w:t>
            </w:r>
          </w:p>
        </w:tc>
        <w:tc>
          <w:tcPr>
            <w:tcW w:w="2369" w:type="pct"/>
            <w:tcBorders>
              <w:tl2br w:val="nil"/>
              <w:tr2bl w:val="nil"/>
            </w:tcBorders>
            <w:vAlign w:val="center"/>
          </w:tcPr>
          <w:p w14:paraId="21F26BC6">
            <w:pPr>
              <w:pStyle w:val="2"/>
              <w:jc w:val="center"/>
              <w:rPr>
                <w:rFonts w:ascii="仿宋" w:hAnsi="仿宋" w:eastAsia="仿宋" w:cs="仿宋"/>
                <w:kern w:val="0"/>
                <w:sz w:val="21"/>
                <w:szCs w:val="21"/>
              </w:rPr>
            </w:pPr>
            <w:r>
              <w:rPr>
                <w:rFonts w:hint="eastAsia" w:ascii="仿宋" w:hAnsi="仿宋" w:eastAsia="仿宋" w:cs="仿宋"/>
                <w:kern w:val="0"/>
                <w:sz w:val="21"/>
                <w:szCs w:val="21"/>
              </w:rPr>
              <w:t>石英砂</w:t>
            </w:r>
          </w:p>
        </w:tc>
      </w:tr>
      <w:tr w14:paraId="2064A04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l2br w:val="nil"/>
              <w:tr2bl w:val="nil"/>
            </w:tcBorders>
            <w:vAlign w:val="center"/>
          </w:tcPr>
          <w:p w14:paraId="60DA2994">
            <w:pPr>
              <w:pStyle w:val="2"/>
              <w:jc w:val="center"/>
              <w:rPr>
                <w:rFonts w:ascii="仿宋" w:hAnsi="仿宋" w:eastAsia="仿宋" w:cs="仿宋"/>
                <w:kern w:val="0"/>
                <w:sz w:val="21"/>
                <w:szCs w:val="21"/>
              </w:rPr>
            </w:pPr>
          </w:p>
        </w:tc>
        <w:tc>
          <w:tcPr>
            <w:tcW w:w="655" w:type="pct"/>
            <w:vMerge w:val="continue"/>
            <w:tcBorders>
              <w:tl2br w:val="nil"/>
              <w:tr2bl w:val="nil"/>
            </w:tcBorders>
            <w:vAlign w:val="center"/>
          </w:tcPr>
          <w:p w14:paraId="0D6FB798">
            <w:pPr>
              <w:pStyle w:val="2"/>
              <w:jc w:val="center"/>
              <w:rPr>
                <w:rFonts w:ascii="仿宋" w:hAnsi="仿宋" w:eastAsia="仿宋" w:cs="仿宋"/>
                <w:kern w:val="0"/>
                <w:sz w:val="21"/>
                <w:szCs w:val="21"/>
              </w:rPr>
            </w:pPr>
          </w:p>
        </w:tc>
        <w:tc>
          <w:tcPr>
            <w:tcW w:w="1334" w:type="pct"/>
            <w:tcBorders>
              <w:tl2br w:val="nil"/>
              <w:tr2bl w:val="nil"/>
            </w:tcBorders>
            <w:vAlign w:val="center"/>
          </w:tcPr>
          <w:p w14:paraId="341A9B92">
            <w:pPr>
              <w:pStyle w:val="2"/>
              <w:jc w:val="center"/>
              <w:rPr>
                <w:rFonts w:ascii="仿宋" w:hAnsi="仿宋" w:eastAsia="仿宋" w:cs="仿宋"/>
                <w:kern w:val="0"/>
                <w:sz w:val="21"/>
                <w:szCs w:val="21"/>
              </w:rPr>
            </w:pPr>
            <w:r>
              <w:rPr>
                <w:rFonts w:hint="eastAsia" w:ascii="仿宋" w:hAnsi="仿宋" w:eastAsia="仿宋" w:cs="仿宋"/>
                <w:kern w:val="0"/>
                <w:sz w:val="21"/>
                <w:szCs w:val="21"/>
              </w:rPr>
              <w:t>原材料/物料</w:t>
            </w:r>
          </w:p>
        </w:tc>
        <w:tc>
          <w:tcPr>
            <w:tcW w:w="2369" w:type="pct"/>
            <w:tcBorders>
              <w:tl2br w:val="nil"/>
              <w:tr2bl w:val="nil"/>
            </w:tcBorders>
            <w:vAlign w:val="center"/>
          </w:tcPr>
          <w:p w14:paraId="0E4C8983">
            <w:pPr>
              <w:pStyle w:val="2"/>
              <w:jc w:val="center"/>
              <w:rPr>
                <w:rFonts w:ascii="仿宋" w:hAnsi="仿宋" w:eastAsia="仿宋" w:cs="仿宋"/>
                <w:kern w:val="0"/>
                <w:sz w:val="21"/>
                <w:szCs w:val="21"/>
              </w:rPr>
            </w:pPr>
            <w:r>
              <w:rPr>
                <w:rFonts w:hint="eastAsia" w:ascii="仿宋" w:hAnsi="仿宋" w:eastAsia="仿宋" w:cs="仿宋"/>
                <w:kern w:val="0"/>
                <w:sz w:val="21"/>
                <w:szCs w:val="21"/>
              </w:rPr>
              <w:t>氟硅酸钠</w:t>
            </w:r>
          </w:p>
        </w:tc>
      </w:tr>
      <w:tr w14:paraId="1E2A7BF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l2br w:val="nil"/>
              <w:tr2bl w:val="nil"/>
            </w:tcBorders>
            <w:vAlign w:val="center"/>
          </w:tcPr>
          <w:p w14:paraId="6B492960">
            <w:pPr>
              <w:pStyle w:val="2"/>
              <w:jc w:val="center"/>
              <w:rPr>
                <w:rFonts w:ascii="仿宋" w:hAnsi="仿宋" w:eastAsia="仿宋" w:cs="仿宋"/>
                <w:kern w:val="0"/>
                <w:sz w:val="21"/>
                <w:szCs w:val="21"/>
              </w:rPr>
            </w:pPr>
          </w:p>
        </w:tc>
        <w:tc>
          <w:tcPr>
            <w:tcW w:w="655" w:type="pct"/>
            <w:vMerge w:val="continue"/>
            <w:tcBorders>
              <w:tl2br w:val="nil"/>
              <w:tr2bl w:val="nil"/>
            </w:tcBorders>
            <w:vAlign w:val="center"/>
          </w:tcPr>
          <w:p w14:paraId="171C8613">
            <w:pPr>
              <w:pStyle w:val="2"/>
              <w:jc w:val="center"/>
              <w:rPr>
                <w:rFonts w:ascii="仿宋" w:hAnsi="仿宋" w:eastAsia="仿宋" w:cs="仿宋"/>
                <w:kern w:val="0"/>
                <w:sz w:val="21"/>
                <w:szCs w:val="21"/>
              </w:rPr>
            </w:pPr>
          </w:p>
        </w:tc>
        <w:tc>
          <w:tcPr>
            <w:tcW w:w="1334" w:type="pct"/>
            <w:tcBorders>
              <w:tl2br w:val="nil"/>
              <w:tr2bl w:val="nil"/>
            </w:tcBorders>
            <w:vAlign w:val="center"/>
          </w:tcPr>
          <w:p w14:paraId="65A1F56F">
            <w:pPr>
              <w:pStyle w:val="2"/>
              <w:jc w:val="center"/>
              <w:rPr>
                <w:rFonts w:ascii="仿宋" w:hAnsi="仿宋" w:eastAsia="仿宋" w:cs="仿宋"/>
                <w:kern w:val="0"/>
                <w:sz w:val="21"/>
                <w:szCs w:val="21"/>
              </w:rPr>
            </w:pPr>
            <w:r>
              <w:rPr>
                <w:rFonts w:hint="eastAsia" w:ascii="仿宋" w:hAnsi="仿宋" w:eastAsia="仿宋" w:cs="仿宋"/>
                <w:kern w:val="0"/>
                <w:sz w:val="21"/>
                <w:szCs w:val="21"/>
              </w:rPr>
              <w:t>原材料/物料</w:t>
            </w:r>
          </w:p>
        </w:tc>
        <w:tc>
          <w:tcPr>
            <w:tcW w:w="2369" w:type="pct"/>
            <w:tcBorders>
              <w:tl2br w:val="nil"/>
              <w:tr2bl w:val="nil"/>
            </w:tcBorders>
            <w:vAlign w:val="center"/>
          </w:tcPr>
          <w:p w14:paraId="3A09571E">
            <w:pPr>
              <w:pStyle w:val="2"/>
              <w:jc w:val="center"/>
              <w:rPr>
                <w:rFonts w:ascii="仿宋" w:hAnsi="仿宋" w:eastAsia="仿宋" w:cs="仿宋"/>
                <w:kern w:val="0"/>
                <w:sz w:val="21"/>
                <w:szCs w:val="21"/>
              </w:rPr>
            </w:pPr>
            <w:r>
              <w:rPr>
                <w:rFonts w:hint="eastAsia" w:ascii="仿宋" w:hAnsi="仿宋" w:eastAsia="仿宋" w:cs="仿宋"/>
                <w:kern w:val="0"/>
                <w:sz w:val="21"/>
                <w:szCs w:val="21"/>
              </w:rPr>
              <w:t>纯碱</w:t>
            </w:r>
          </w:p>
        </w:tc>
      </w:tr>
      <w:tr w14:paraId="45CB9F9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l2br w:val="nil"/>
              <w:tr2bl w:val="nil"/>
            </w:tcBorders>
            <w:vAlign w:val="center"/>
          </w:tcPr>
          <w:p w14:paraId="5E3648F5">
            <w:pPr>
              <w:pStyle w:val="2"/>
              <w:jc w:val="center"/>
              <w:rPr>
                <w:rFonts w:ascii="仿宋" w:hAnsi="仿宋" w:eastAsia="仿宋" w:cs="仿宋"/>
                <w:kern w:val="0"/>
                <w:sz w:val="21"/>
                <w:szCs w:val="21"/>
              </w:rPr>
            </w:pPr>
          </w:p>
        </w:tc>
        <w:tc>
          <w:tcPr>
            <w:tcW w:w="655" w:type="pct"/>
            <w:vMerge w:val="continue"/>
            <w:tcBorders>
              <w:tl2br w:val="nil"/>
              <w:tr2bl w:val="nil"/>
            </w:tcBorders>
            <w:vAlign w:val="center"/>
          </w:tcPr>
          <w:p w14:paraId="1F2F78A2">
            <w:pPr>
              <w:pStyle w:val="2"/>
              <w:jc w:val="center"/>
              <w:rPr>
                <w:rFonts w:ascii="仿宋" w:hAnsi="仿宋" w:eastAsia="仿宋" w:cs="仿宋"/>
                <w:kern w:val="0"/>
                <w:sz w:val="21"/>
                <w:szCs w:val="21"/>
              </w:rPr>
            </w:pPr>
          </w:p>
        </w:tc>
        <w:tc>
          <w:tcPr>
            <w:tcW w:w="1334" w:type="pct"/>
            <w:tcBorders>
              <w:tl2br w:val="nil"/>
              <w:tr2bl w:val="nil"/>
            </w:tcBorders>
            <w:vAlign w:val="center"/>
          </w:tcPr>
          <w:p w14:paraId="4FE37061">
            <w:pPr>
              <w:pStyle w:val="2"/>
              <w:jc w:val="center"/>
              <w:rPr>
                <w:rFonts w:ascii="仿宋" w:hAnsi="仿宋" w:eastAsia="仿宋" w:cs="仿宋"/>
                <w:kern w:val="0"/>
                <w:sz w:val="21"/>
                <w:szCs w:val="21"/>
              </w:rPr>
            </w:pPr>
            <w:r>
              <w:rPr>
                <w:rFonts w:hint="eastAsia" w:ascii="仿宋" w:hAnsi="仿宋" w:eastAsia="仿宋" w:cs="仿宋"/>
                <w:kern w:val="0"/>
                <w:sz w:val="21"/>
                <w:szCs w:val="21"/>
              </w:rPr>
              <w:t>原材料/物料</w:t>
            </w:r>
          </w:p>
        </w:tc>
        <w:tc>
          <w:tcPr>
            <w:tcW w:w="2369" w:type="pct"/>
            <w:tcBorders>
              <w:tl2br w:val="nil"/>
              <w:tr2bl w:val="nil"/>
            </w:tcBorders>
            <w:vAlign w:val="center"/>
          </w:tcPr>
          <w:p w14:paraId="02917808">
            <w:pPr>
              <w:pStyle w:val="2"/>
              <w:jc w:val="center"/>
              <w:rPr>
                <w:rFonts w:ascii="仿宋" w:hAnsi="仿宋" w:eastAsia="仿宋" w:cs="仿宋"/>
                <w:kern w:val="0"/>
                <w:sz w:val="21"/>
                <w:szCs w:val="21"/>
              </w:rPr>
            </w:pPr>
            <w:r>
              <w:rPr>
                <w:rFonts w:hint="eastAsia" w:ascii="仿宋" w:hAnsi="仿宋" w:eastAsia="仿宋" w:cs="仿宋"/>
                <w:kern w:val="0"/>
                <w:sz w:val="21"/>
                <w:szCs w:val="21"/>
              </w:rPr>
              <w:t>碳酸钙</w:t>
            </w:r>
          </w:p>
        </w:tc>
      </w:tr>
      <w:tr w14:paraId="5C29D88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l2br w:val="nil"/>
              <w:tr2bl w:val="nil"/>
            </w:tcBorders>
            <w:vAlign w:val="center"/>
          </w:tcPr>
          <w:p w14:paraId="7FB35B27">
            <w:pPr>
              <w:pStyle w:val="2"/>
              <w:jc w:val="center"/>
              <w:rPr>
                <w:rFonts w:ascii="仿宋" w:hAnsi="仿宋" w:eastAsia="仿宋" w:cs="仿宋"/>
                <w:kern w:val="0"/>
                <w:sz w:val="21"/>
                <w:szCs w:val="21"/>
              </w:rPr>
            </w:pPr>
          </w:p>
        </w:tc>
        <w:tc>
          <w:tcPr>
            <w:tcW w:w="655" w:type="pct"/>
            <w:vMerge w:val="continue"/>
            <w:tcBorders>
              <w:tl2br w:val="nil"/>
              <w:tr2bl w:val="nil"/>
            </w:tcBorders>
            <w:vAlign w:val="center"/>
          </w:tcPr>
          <w:p w14:paraId="1EEEC720">
            <w:pPr>
              <w:pStyle w:val="2"/>
              <w:jc w:val="center"/>
              <w:rPr>
                <w:rFonts w:ascii="仿宋" w:hAnsi="仿宋" w:eastAsia="仿宋" w:cs="仿宋"/>
                <w:kern w:val="0"/>
                <w:sz w:val="21"/>
                <w:szCs w:val="21"/>
              </w:rPr>
            </w:pPr>
          </w:p>
        </w:tc>
        <w:tc>
          <w:tcPr>
            <w:tcW w:w="1334" w:type="pct"/>
            <w:tcBorders>
              <w:tl2br w:val="nil"/>
              <w:tr2bl w:val="nil"/>
            </w:tcBorders>
            <w:vAlign w:val="center"/>
          </w:tcPr>
          <w:p w14:paraId="2A2F0738">
            <w:pPr>
              <w:pStyle w:val="2"/>
              <w:jc w:val="center"/>
              <w:rPr>
                <w:rFonts w:ascii="仿宋" w:hAnsi="仿宋" w:eastAsia="仿宋" w:cs="仿宋"/>
                <w:kern w:val="0"/>
                <w:sz w:val="21"/>
                <w:szCs w:val="21"/>
              </w:rPr>
            </w:pPr>
            <w:r>
              <w:rPr>
                <w:rFonts w:hint="eastAsia" w:ascii="仿宋" w:hAnsi="仿宋" w:eastAsia="仿宋" w:cs="仿宋"/>
                <w:kern w:val="0"/>
                <w:sz w:val="21"/>
                <w:szCs w:val="21"/>
              </w:rPr>
              <w:t>能源</w:t>
            </w:r>
          </w:p>
        </w:tc>
        <w:tc>
          <w:tcPr>
            <w:tcW w:w="2369" w:type="pct"/>
            <w:tcBorders>
              <w:tl2br w:val="nil"/>
              <w:tr2bl w:val="nil"/>
            </w:tcBorders>
            <w:vAlign w:val="center"/>
          </w:tcPr>
          <w:p w14:paraId="291E7B71">
            <w:pPr>
              <w:pStyle w:val="2"/>
              <w:jc w:val="center"/>
              <w:rPr>
                <w:rFonts w:ascii="仿宋" w:hAnsi="仿宋" w:eastAsia="仿宋" w:cs="仿宋"/>
                <w:kern w:val="0"/>
                <w:sz w:val="21"/>
                <w:szCs w:val="21"/>
              </w:rPr>
            </w:pPr>
            <w:r>
              <w:rPr>
                <w:rFonts w:hint="eastAsia" w:ascii="仿宋" w:hAnsi="仿宋" w:eastAsia="仿宋" w:cs="仿宋"/>
                <w:kern w:val="0"/>
                <w:sz w:val="21"/>
                <w:szCs w:val="21"/>
              </w:rPr>
              <w:t>电力</w:t>
            </w:r>
          </w:p>
        </w:tc>
      </w:tr>
      <w:tr w14:paraId="1E7F692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l2br w:val="nil"/>
              <w:tr2bl w:val="nil"/>
            </w:tcBorders>
            <w:vAlign w:val="center"/>
          </w:tcPr>
          <w:p w14:paraId="45F62042">
            <w:pPr>
              <w:pStyle w:val="2"/>
              <w:jc w:val="center"/>
              <w:rPr>
                <w:rFonts w:ascii="仿宋" w:hAnsi="仿宋" w:eastAsia="仿宋" w:cs="仿宋"/>
                <w:kern w:val="0"/>
                <w:sz w:val="21"/>
                <w:szCs w:val="21"/>
              </w:rPr>
            </w:pPr>
          </w:p>
        </w:tc>
        <w:tc>
          <w:tcPr>
            <w:tcW w:w="655" w:type="pct"/>
            <w:vMerge w:val="continue"/>
            <w:tcBorders>
              <w:tl2br w:val="nil"/>
              <w:tr2bl w:val="nil"/>
            </w:tcBorders>
            <w:vAlign w:val="center"/>
          </w:tcPr>
          <w:p w14:paraId="35CB5992">
            <w:pPr>
              <w:pStyle w:val="2"/>
              <w:jc w:val="center"/>
              <w:rPr>
                <w:rFonts w:ascii="仿宋" w:hAnsi="仿宋" w:eastAsia="仿宋" w:cs="仿宋"/>
                <w:kern w:val="0"/>
                <w:sz w:val="21"/>
                <w:szCs w:val="21"/>
              </w:rPr>
            </w:pPr>
          </w:p>
        </w:tc>
        <w:tc>
          <w:tcPr>
            <w:tcW w:w="1334" w:type="pct"/>
            <w:tcBorders>
              <w:tl2br w:val="nil"/>
              <w:tr2bl w:val="nil"/>
            </w:tcBorders>
            <w:vAlign w:val="center"/>
          </w:tcPr>
          <w:p w14:paraId="77E21CD9">
            <w:pPr>
              <w:pStyle w:val="2"/>
              <w:jc w:val="center"/>
              <w:rPr>
                <w:rFonts w:ascii="仿宋" w:hAnsi="仿宋" w:eastAsia="仿宋" w:cs="仿宋"/>
                <w:kern w:val="0"/>
                <w:sz w:val="21"/>
                <w:szCs w:val="21"/>
              </w:rPr>
            </w:pPr>
            <w:r>
              <w:rPr>
                <w:rFonts w:hint="eastAsia" w:ascii="仿宋" w:hAnsi="仿宋" w:eastAsia="仿宋" w:cs="仿宋"/>
                <w:kern w:val="0"/>
                <w:sz w:val="21"/>
                <w:szCs w:val="21"/>
              </w:rPr>
              <w:t>能源</w:t>
            </w:r>
          </w:p>
        </w:tc>
        <w:tc>
          <w:tcPr>
            <w:tcW w:w="2369" w:type="pct"/>
            <w:tcBorders>
              <w:tl2br w:val="nil"/>
              <w:tr2bl w:val="nil"/>
            </w:tcBorders>
            <w:vAlign w:val="center"/>
          </w:tcPr>
          <w:p w14:paraId="3F27FE22">
            <w:pPr>
              <w:pStyle w:val="2"/>
              <w:jc w:val="center"/>
              <w:rPr>
                <w:rFonts w:ascii="仿宋" w:hAnsi="仿宋" w:eastAsia="仿宋" w:cs="仿宋"/>
                <w:kern w:val="0"/>
                <w:sz w:val="21"/>
                <w:szCs w:val="21"/>
              </w:rPr>
            </w:pPr>
            <w:r>
              <w:rPr>
                <w:rFonts w:hint="eastAsia" w:ascii="仿宋" w:hAnsi="仿宋" w:eastAsia="仿宋" w:cs="仿宋"/>
                <w:kern w:val="0"/>
                <w:sz w:val="21"/>
                <w:szCs w:val="21"/>
              </w:rPr>
              <w:t>天然气</w:t>
            </w:r>
          </w:p>
        </w:tc>
      </w:tr>
      <w:tr w14:paraId="306C639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l2br w:val="nil"/>
              <w:tr2bl w:val="nil"/>
            </w:tcBorders>
            <w:vAlign w:val="center"/>
          </w:tcPr>
          <w:p w14:paraId="566C0E21">
            <w:pPr>
              <w:pStyle w:val="2"/>
              <w:jc w:val="center"/>
              <w:rPr>
                <w:rFonts w:ascii="仿宋" w:hAnsi="仿宋" w:eastAsia="仿宋" w:cs="仿宋"/>
                <w:kern w:val="0"/>
                <w:sz w:val="21"/>
                <w:szCs w:val="21"/>
              </w:rPr>
            </w:pPr>
          </w:p>
        </w:tc>
        <w:tc>
          <w:tcPr>
            <w:tcW w:w="655" w:type="pct"/>
            <w:vMerge w:val="restart"/>
            <w:tcBorders>
              <w:tl2br w:val="nil"/>
              <w:tr2bl w:val="nil"/>
            </w:tcBorders>
            <w:shd w:val="clear" w:color="auto" w:fill="auto"/>
            <w:vAlign w:val="center"/>
          </w:tcPr>
          <w:p w14:paraId="413DDDDB">
            <w:pPr>
              <w:pStyle w:val="2"/>
              <w:jc w:val="center"/>
              <w:rPr>
                <w:rFonts w:ascii="仿宋" w:hAnsi="仿宋" w:eastAsia="仿宋" w:cs="仿宋"/>
                <w:kern w:val="0"/>
                <w:sz w:val="21"/>
                <w:szCs w:val="21"/>
              </w:rPr>
            </w:pPr>
            <w:r>
              <w:rPr>
                <w:rFonts w:hint="eastAsia" w:ascii="仿宋" w:hAnsi="仿宋" w:eastAsia="仿宋" w:cs="仿宋"/>
                <w:kern w:val="0"/>
                <w:sz w:val="21"/>
                <w:szCs w:val="21"/>
              </w:rPr>
              <w:t>输出</w:t>
            </w:r>
          </w:p>
        </w:tc>
        <w:tc>
          <w:tcPr>
            <w:tcW w:w="1334" w:type="pct"/>
            <w:tcBorders>
              <w:tl2br w:val="nil"/>
              <w:tr2bl w:val="nil"/>
            </w:tcBorders>
            <w:shd w:val="clear" w:color="auto" w:fill="auto"/>
            <w:vAlign w:val="center"/>
          </w:tcPr>
          <w:p w14:paraId="7A4BF994">
            <w:pPr>
              <w:pStyle w:val="2"/>
              <w:jc w:val="center"/>
              <w:rPr>
                <w:rFonts w:ascii="仿宋" w:hAnsi="仿宋" w:eastAsia="仿宋" w:cs="仿宋"/>
                <w:kern w:val="0"/>
                <w:sz w:val="21"/>
                <w:szCs w:val="21"/>
              </w:rPr>
            </w:pPr>
            <w:r>
              <w:rPr>
                <w:rFonts w:hint="eastAsia" w:ascii="仿宋" w:hAnsi="仿宋" w:eastAsia="仿宋" w:cs="仿宋"/>
                <w:kern w:val="0"/>
                <w:sz w:val="21"/>
                <w:szCs w:val="21"/>
              </w:rPr>
              <w:t>产品产出</w:t>
            </w:r>
          </w:p>
        </w:tc>
        <w:tc>
          <w:tcPr>
            <w:tcW w:w="2369" w:type="pct"/>
            <w:tcBorders>
              <w:tl2br w:val="nil"/>
              <w:tr2bl w:val="nil"/>
            </w:tcBorders>
            <w:shd w:val="clear" w:color="auto" w:fill="auto"/>
            <w:vAlign w:val="center"/>
          </w:tcPr>
          <w:p w14:paraId="3EFA721C">
            <w:pPr>
              <w:pStyle w:val="2"/>
              <w:jc w:val="center"/>
              <w:rPr>
                <w:rFonts w:ascii="仿宋" w:hAnsi="仿宋" w:eastAsia="仿宋" w:cs="仿宋"/>
                <w:kern w:val="0"/>
                <w:sz w:val="21"/>
                <w:szCs w:val="21"/>
              </w:rPr>
            </w:pPr>
            <w:r>
              <w:rPr>
                <w:rFonts w:hint="eastAsia" w:ascii="仿宋" w:hAnsi="仿宋" w:eastAsia="仿宋" w:cs="仿宋"/>
                <w:kern w:val="0"/>
                <w:sz w:val="21"/>
                <w:szCs w:val="21"/>
              </w:rPr>
              <w:t>氟硅酸盐煤矸石制微晶玻璃</w:t>
            </w:r>
          </w:p>
        </w:tc>
      </w:tr>
      <w:tr w14:paraId="2CDFE28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l2br w:val="nil"/>
              <w:tr2bl w:val="nil"/>
            </w:tcBorders>
            <w:vAlign w:val="center"/>
          </w:tcPr>
          <w:p w14:paraId="561D6DE6">
            <w:pPr>
              <w:pStyle w:val="2"/>
              <w:jc w:val="center"/>
              <w:rPr>
                <w:rFonts w:ascii="仿宋" w:hAnsi="仿宋" w:eastAsia="仿宋" w:cs="仿宋"/>
                <w:kern w:val="0"/>
                <w:sz w:val="21"/>
                <w:szCs w:val="21"/>
              </w:rPr>
            </w:pPr>
          </w:p>
        </w:tc>
        <w:tc>
          <w:tcPr>
            <w:tcW w:w="655" w:type="pct"/>
            <w:vMerge w:val="continue"/>
            <w:tcBorders>
              <w:tl2br w:val="nil"/>
              <w:tr2bl w:val="nil"/>
            </w:tcBorders>
            <w:vAlign w:val="center"/>
          </w:tcPr>
          <w:p w14:paraId="04DDA742">
            <w:pPr>
              <w:pStyle w:val="2"/>
              <w:jc w:val="center"/>
              <w:rPr>
                <w:rFonts w:ascii="仿宋" w:hAnsi="仿宋" w:eastAsia="仿宋" w:cs="仿宋"/>
                <w:kern w:val="0"/>
                <w:sz w:val="21"/>
                <w:szCs w:val="21"/>
              </w:rPr>
            </w:pPr>
          </w:p>
        </w:tc>
        <w:tc>
          <w:tcPr>
            <w:tcW w:w="1334" w:type="pct"/>
            <w:tcBorders>
              <w:tl2br w:val="nil"/>
              <w:tr2bl w:val="nil"/>
            </w:tcBorders>
            <w:vAlign w:val="center"/>
          </w:tcPr>
          <w:p w14:paraId="7901F687">
            <w:pPr>
              <w:pStyle w:val="2"/>
              <w:jc w:val="center"/>
              <w:rPr>
                <w:rFonts w:ascii="仿宋" w:hAnsi="仿宋" w:eastAsia="仿宋" w:cs="仿宋"/>
                <w:kern w:val="0"/>
                <w:sz w:val="21"/>
                <w:szCs w:val="21"/>
              </w:rPr>
            </w:pPr>
            <w:r>
              <w:rPr>
                <w:rFonts w:hint="eastAsia" w:ascii="仿宋" w:hAnsi="仿宋" w:eastAsia="仿宋" w:cs="仿宋"/>
                <w:kern w:val="0"/>
                <w:sz w:val="21"/>
                <w:szCs w:val="21"/>
              </w:rPr>
              <w:t>环境排放</w:t>
            </w:r>
          </w:p>
        </w:tc>
        <w:tc>
          <w:tcPr>
            <w:tcW w:w="2369" w:type="pct"/>
            <w:tcBorders>
              <w:tl2br w:val="nil"/>
              <w:tr2bl w:val="nil"/>
            </w:tcBorders>
            <w:vAlign w:val="center"/>
          </w:tcPr>
          <w:p w14:paraId="3294C9F9">
            <w:pPr>
              <w:pStyle w:val="2"/>
              <w:jc w:val="center"/>
              <w:rPr>
                <w:rFonts w:ascii="仿宋" w:hAnsi="仿宋" w:eastAsia="仿宋" w:cs="仿宋"/>
                <w:kern w:val="0"/>
                <w:sz w:val="21"/>
                <w:szCs w:val="21"/>
              </w:rPr>
            </w:pPr>
            <w:r>
              <w:rPr>
                <w:rFonts w:hint="eastAsia" w:ascii="仿宋" w:hAnsi="仿宋" w:eastAsia="仿宋" w:cs="仿宋"/>
                <w:kern w:val="0"/>
                <w:sz w:val="21"/>
                <w:szCs w:val="21"/>
              </w:rPr>
              <w:t>二氧化碳</w:t>
            </w:r>
          </w:p>
        </w:tc>
      </w:tr>
      <w:tr w14:paraId="6990206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l2br w:val="nil"/>
              <w:tr2bl w:val="nil"/>
            </w:tcBorders>
            <w:vAlign w:val="center"/>
          </w:tcPr>
          <w:p w14:paraId="1798146D">
            <w:pPr>
              <w:pStyle w:val="2"/>
              <w:jc w:val="center"/>
              <w:rPr>
                <w:rFonts w:ascii="仿宋" w:hAnsi="仿宋" w:eastAsia="仿宋" w:cs="仿宋"/>
                <w:kern w:val="0"/>
                <w:sz w:val="21"/>
                <w:szCs w:val="21"/>
              </w:rPr>
            </w:pPr>
          </w:p>
        </w:tc>
        <w:tc>
          <w:tcPr>
            <w:tcW w:w="655" w:type="pct"/>
            <w:vMerge w:val="continue"/>
            <w:tcBorders>
              <w:tl2br w:val="nil"/>
              <w:tr2bl w:val="nil"/>
            </w:tcBorders>
            <w:shd w:val="clear" w:color="auto" w:fill="auto"/>
            <w:vAlign w:val="center"/>
          </w:tcPr>
          <w:p w14:paraId="47D426F0">
            <w:pPr>
              <w:pStyle w:val="2"/>
              <w:jc w:val="center"/>
              <w:rPr>
                <w:rFonts w:ascii="仿宋" w:hAnsi="仿宋" w:eastAsia="仿宋" w:cs="仿宋"/>
                <w:kern w:val="0"/>
                <w:sz w:val="21"/>
                <w:szCs w:val="21"/>
              </w:rPr>
            </w:pPr>
          </w:p>
        </w:tc>
        <w:tc>
          <w:tcPr>
            <w:tcW w:w="1334" w:type="pct"/>
            <w:tcBorders>
              <w:tl2br w:val="nil"/>
              <w:tr2bl w:val="nil"/>
            </w:tcBorders>
            <w:shd w:val="clear" w:color="auto" w:fill="auto"/>
            <w:vAlign w:val="center"/>
          </w:tcPr>
          <w:p w14:paraId="69D2C8F2">
            <w:pPr>
              <w:pStyle w:val="2"/>
              <w:jc w:val="center"/>
              <w:rPr>
                <w:rFonts w:ascii="仿宋" w:hAnsi="仿宋" w:eastAsia="仿宋" w:cs="仿宋"/>
                <w:kern w:val="0"/>
                <w:sz w:val="21"/>
                <w:szCs w:val="21"/>
              </w:rPr>
            </w:pPr>
            <w:r>
              <w:rPr>
                <w:rFonts w:hint="eastAsia" w:ascii="仿宋" w:hAnsi="仿宋" w:eastAsia="仿宋" w:cs="仿宋"/>
                <w:kern w:val="0"/>
                <w:sz w:val="21"/>
                <w:szCs w:val="21"/>
              </w:rPr>
              <w:t>环境排放</w:t>
            </w:r>
          </w:p>
        </w:tc>
        <w:tc>
          <w:tcPr>
            <w:tcW w:w="2369" w:type="pct"/>
            <w:tcBorders>
              <w:tl2br w:val="nil"/>
              <w:tr2bl w:val="nil"/>
            </w:tcBorders>
            <w:shd w:val="clear" w:color="auto" w:fill="auto"/>
            <w:vAlign w:val="center"/>
          </w:tcPr>
          <w:p w14:paraId="566F24D5">
            <w:pPr>
              <w:pStyle w:val="2"/>
              <w:jc w:val="center"/>
              <w:rPr>
                <w:rFonts w:ascii="仿宋" w:hAnsi="仿宋" w:eastAsia="仿宋" w:cs="仿宋"/>
                <w:kern w:val="0"/>
                <w:sz w:val="21"/>
                <w:szCs w:val="21"/>
              </w:rPr>
            </w:pPr>
            <w:r>
              <w:rPr>
                <w:rFonts w:hint="eastAsia" w:ascii="仿宋" w:hAnsi="仿宋" w:eastAsia="仿宋" w:cs="仿宋"/>
                <w:kern w:val="0"/>
                <w:sz w:val="21"/>
                <w:szCs w:val="21"/>
              </w:rPr>
              <w:t>总颗粒物</w:t>
            </w:r>
          </w:p>
        </w:tc>
      </w:tr>
      <w:tr w14:paraId="7241F9E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restart"/>
            <w:tcBorders>
              <w:tl2br w:val="nil"/>
              <w:tr2bl w:val="nil"/>
            </w:tcBorders>
            <w:vAlign w:val="center"/>
          </w:tcPr>
          <w:p w14:paraId="22766344">
            <w:pPr>
              <w:pStyle w:val="2"/>
              <w:jc w:val="center"/>
              <w:rPr>
                <w:rFonts w:ascii="仿宋" w:hAnsi="仿宋" w:eastAsia="仿宋" w:cs="仿宋"/>
                <w:kern w:val="0"/>
                <w:sz w:val="21"/>
                <w:szCs w:val="21"/>
              </w:rPr>
            </w:pPr>
            <w:r>
              <w:rPr>
                <w:rFonts w:hint="eastAsia" w:ascii="仿宋" w:hAnsi="仿宋" w:eastAsia="仿宋" w:cs="仿宋"/>
                <w:kern w:val="0"/>
                <w:sz w:val="21"/>
                <w:szCs w:val="21"/>
              </w:rPr>
              <w:t>背景数据</w:t>
            </w:r>
          </w:p>
        </w:tc>
        <w:tc>
          <w:tcPr>
            <w:tcW w:w="1990" w:type="pct"/>
            <w:gridSpan w:val="2"/>
            <w:tcBorders>
              <w:tl2br w:val="nil"/>
              <w:tr2bl w:val="nil"/>
            </w:tcBorders>
            <w:shd w:val="clear" w:color="auto" w:fill="auto"/>
            <w:vAlign w:val="center"/>
          </w:tcPr>
          <w:p w14:paraId="7ACD013B">
            <w:pPr>
              <w:pStyle w:val="2"/>
              <w:jc w:val="center"/>
              <w:rPr>
                <w:rFonts w:ascii="仿宋" w:hAnsi="仿宋" w:eastAsia="仿宋" w:cs="仿宋"/>
                <w:kern w:val="0"/>
                <w:sz w:val="21"/>
                <w:szCs w:val="21"/>
              </w:rPr>
            </w:pPr>
            <w:r>
              <w:rPr>
                <w:rFonts w:hint="eastAsia" w:ascii="仿宋" w:hAnsi="仿宋" w:eastAsia="仿宋" w:cs="仿宋"/>
                <w:kern w:val="0"/>
                <w:sz w:val="21"/>
                <w:szCs w:val="21"/>
              </w:rPr>
              <w:t>电力/热力</w:t>
            </w:r>
          </w:p>
        </w:tc>
        <w:tc>
          <w:tcPr>
            <w:tcW w:w="2369" w:type="pct"/>
            <w:tcBorders>
              <w:tl2br w:val="nil"/>
              <w:tr2bl w:val="nil"/>
            </w:tcBorders>
            <w:shd w:val="clear" w:color="auto" w:fill="auto"/>
            <w:vAlign w:val="center"/>
          </w:tcPr>
          <w:p w14:paraId="49FCEF0E">
            <w:pPr>
              <w:pStyle w:val="2"/>
              <w:jc w:val="center"/>
              <w:rPr>
                <w:rFonts w:ascii="仿宋" w:hAnsi="仿宋" w:eastAsia="仿宋" w:cs="仿宋"/>
                <w:kern w:val="0"/>
                <w:sz w:val="21"/>
                <w:szCs w:val="21"/>
              </w:rPr>
            </w:pPr>
            <w:r>
              <w:rPr>
                <w:rFonts w:hint="eastAsia" w:ascii="仿宋" w:hAnsi="仿宋" w:eastAsia="仿宋" w:cs="仿宋"/>
                <w:kern w:val="0"/>
                <w:sz w:val="21"/>
                <w:szCs w:val="21"/>
              </w:rPr>
              <w:t>电力/热力排放因子</w:t>
            </w:r>
          </w:p>
        </w:tc>
      </w:tr>
      <w:tr w14:paraId="416018C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l2br w:val="nil"/>
              <w:tr2bl w:val="nil"/>
            </w:tcBorders>
            <w:vAlign w:val="center"/>
          </w:tcPr>
          <w:p w14:paraId="0536A6E8">
            <w:pPr>
              <w:pStyle w:val="2"/>
              <w:jc w:val="center"/>
              <w:rPr>
                <w:rFonts w:ascii="仿宋" w:hAnsi="仿宋" w:eastAsia="仿宋" w:cs="仿宋"/>
                <w:kern w:val="0"/>
                <w:sz w:val="21"/>
                <w:szCs w:val="21"/>
              </w:rPr>
            </w:pPr>
          </w:p>
        </w:tc>
        <w:tc>
          <w:tcPr>
            <w:tcW w:w="1990" w:type="pct"/>
            <w:gridSpan w:val="2"/>
            <w:tcBorders>
              <w:tl2br w:val="nil"/>
              <w:tr2bl w:val="nil"/>
            </w:tcBorders>
            <w:shd w:val="clear" w:color="auto" w:fill="auto"/>
            <w:vAlign w:val="center"/>
          </w:tcPr>
          <w:p w14:paraId="68D1C9C4">
            <w:pPr>
              <w:pStyle w:val="2"/>
              <w:jc w:val="center"/>
              <w:rPr>
                <w:rFonts w:ascii="仿宋" w:hAnsi="仿宋" w:eastAsia="仿宋" w:cs="仿宋"/>
                <w:kern w:val="0"/>
                <w:sz w:val="21"/>
                <w:szCs w:val="21"/>
              </w:rPr>
            </w:pPr>
            <w:r>
              <w:rPr>
                <w:rFonts w:hint="eastAsia" w:ascii="仿宋" w:hAnsi="仿宋" w:eastAsia="仿宋" w:cs="仿宋"/>
                <w:kern w:val="0"/>
                <w:sz w:val="21"/>
                <w:szCs w:val="21"/>
              </w:rPr>
              <w:t>外购原辅材料、燃料和服务</w:t>
            </w:r>
          </w:p>
        </w:tc>
        <w:tc>
          <w:tcPr>
            <w:tcW w:w="2369" w:type="pct"/>
            <w:tcBorders>
              <w:tl2br w:val="nil"/>
              <w:tr2bl w:val="nil"/>
            </w:tcBorders>
            <w:shd w:val="clear" w:color="auto" w:fill="auto"/>
            <w:vAlign w:val="center"/>
          </w:tcPr>
          <w:p w14:paraId="38D2B7DA">
            <w:pPr>
              <w:pStyle w:val="2"/>
              <w:jc w:val="center"/>
              <w:rPr>
                <w:rFonts w:ascii="仿宋" w:hAnsi="仿宋" w:eastAsia="仿宋" w:cs="仿宋"/>
                <w:kern w:val="0"/>
                <w:sz w:val="21"/>
                <w:szCs w:val="21"/>
              </w:rPr>
            </w:pPr>
            <w:r>
              <w:rPr>
                <w:rFonts w:hint="eastAsia" w:ascii="仿宋" w:hAnsi="仿宋" w:eastAsia="仿宋" w:cs="仿宋"/>
                <w:kern w:val="0"/>
                <w:sz w:val="21"/>
                <w:szCs w:val="21"/>
              </w:rPr>
              <w:t>公开/商业数据库中的排放因子</w:t>
            </w:r>
          </w:p>
        </w:tc>
      </w:tr>
      <w:tr w14:paraId="6010BA2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640" w:type="pct"/>
            <w:vMerge w:val="continue"/>
            <w:tcBorders>
              <w:tl2br w:val="nil"/>
              <w:tr2bl w:val="nil"/>
            </w:tcBorders>
            <w:vAlign w:val="center"/>
          </w:tcPr>
          <w:p w14:paraId="7F5B3C5F">
            <w:pPr>
              <w:pStyle w:val="2"/>
              <w:jc w:val="center"/>
              <w:rPr>
                <w:rFonts w:ascii="仿宋" w:hAnsi="仿宋" w:eastAsia="仿宋" w:cs="仿宋"/>
                <w:kern w:val="0"/>
                <w:sz w:val="21"/>
                <w:szCs w:val="21"/>
              </w:rPr>
            </w:pPr>
          </w:p>
        </w:tc>
        <w:tc>
          <w:tcPr>
            <w:tcW w:w="1990" w:type="pct"/>
            <w:gridSpan w:val="2"/>
            <w:tcBorders>
              <w:tl2br w:val="nil"/>
              <w:tr2bl w:val="nil"/>
            </w:tcBorders>
            <w:shd w:val="clear" w:color="auto" w:fill="auto"/>
            <w:vAlign w:val="center"/>
          </w:tcPr>
          <w:p w14:paraId="24BE2590">
            <w:pPr>
              <w:pStyle w:val="2"/>
              <w:jc w:val="center"/>
              <w:rPr>
                <w:rFonts w:ascii="仿宋" w:hAnsi="仿宋" w:eastAsia="仿宋" w:cs="仿宋"/>
                <w:kern w:val="0"/>
                <w:sz w:val="21"/>
                <w:szCs w:val="21"/>
              </w:rPr>
            </w:pPr>
            <w:r>
              <w:rPr>
                <w:rFonts w:hint="eastAsia" w:ascii="仿宋" w:hAnsi="仿宋" w:eastAsia="仿宋" w:cs="仿宋"/>
                <w:kern w:val="0"/>
                <w:sz w:val="21"/>
                <w:szCs w:val="21"/>
              </w:rPr>
              <w:t>运输</w:t>
            </w:r>
          </w:p>
        </w:tc>
        <w:tc>
          <w:tcPr>
            <w:tcW w:w="2369" w:type="pct"/>
            <w:tcBorders>
              <w:tl2br w:val="nil"/>
              <w:tr2bl w:val="nil"/>
            </w:tcBorders>
            <w:shd w:val="clear" w:color="auto" w:fill="auto"/>
            <w:vAlign w:val="center"/>
          </w:tcPr>
          <w:p w14:paraId="7CDF9F5C">
            <w:pPr>
              <w:pStyle w:val="2"/>
              <w:jc w:val="center"/>
              <w:rPr>
                <w:rFonts w:ascii="仿宋" w:hAnsi="仿宋" w:eastAsia="仿宋" w:cs="仿宋"/>
                <w:kern w:val="0"/>
                <w:sz w:val="21"/>
                <w:szCs w:val="21"/>
              </w:rPr>
            </w:pPr>
            <w:r>
              <w:rPr>
                <w:rFonts w:hint="eastAsia" w:ascii="仿宋" w:hAnsi="仿宋" w:eastAsia="仿宋" w:cs="仿宋"/>
                <w:kern w:val="0"/>
                <w:sz w:val="21"/>
                <w:szCs w:val="21"/>
              </w:rPr>
              <w:t>运输方式、运输工具规格型号、排放因子</w:t>
            </w:r>
          </w:p>
        </w:tc>
      </w:tr>
    </w:tbl>
    <w:p w14:paraId="621EE489">
      <w:pPr>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碳排放活动水平数据可来源于企业生产经营台账、能源统计台帐、财务账、设备运行记录以及购能发票购货原始发票、产品销售发票、付款记录等。碳排放活动水平数据及来源如表2。</w:t>
      </w:r>
    </w:p>
    <w:p w14:paraId="1CB4B211">
      <w:pPr>
        <w:pStyle w:val="2"/>
        <w:jc w:val="center"/>
        <w:rPr>
          <w:rFonts w:ascii="Times New Roman" w:hAnsi="Times New Roman" w:eastAsia="方正仿宋_GB2312" w:cs="Times New Roman"/>
          <w:kern w:val="0"/>
          <w:sz w:val="21"/>
          <w:szCs w:val="21"/>
        </w:rPr>
      </w:pPr>
      <w:r>
        <w:rPr>
          <w:rFonts w:hint="eastAsia" w:ascii="Times New Roman" w:hAnsi="Times New Roman" w:eastAsia="方正仿宋_GB2312" w:cs="Times New Roman"/>
          <w:kern w:val="0"/>
          <w:sz w:val="21"/>
          <w:szCs w:val="21"/>
        </w:rPr>
        <w:t>表2 数据收集方法</w:t>
      </w:r>
    </w:p>
    <w:tbl>
      <w:tblPr>
        <w:tblStyle w:val="25"/>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84"/>
        <w:gridCol w:w="1095"/>
        <w:gridCol w:w="1410"/>
        <w:gridCol w:w="1755"/>
        <w:gridCol w:w="3577"/>
      </w:tblGrid>
      <w:tr w14:paraId="3306F7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84" w:type="dxa"/>
            <w:tcBorders>
              <w:bottom w:val="single" w:color="auto" w:sz="4" w:space="0"/>
            </w:tcBorders>
          </w:tcPr>
          <w:p w14:paraId="2C2A2FDA">
            <w:pPr>
              <w:jc w:val="center"/>
              <w:rPr>
                <w:rFonts w:ascii="仿宋" w:hAnsi="仿宋" w:eastAsia="仿宋" w:cs="仿宋"/>
                <w:b/>
                <w:bCs/>
                <w:kern w:val="0"/>
                <w:szCs w:val="21"/>
              </w:rPr>
            </w:pPr>
            <w:r>
              <w:rPr>
                <w:rFonts w:hint="eastAsia" w:ascii="仿宋" w:hAnsi="仿宋" w:eastAsia="仿宋" w:cs="仿宋"/>
                <w:b/>
                <w:bCs/>
                <w:kern w:val="0"/>
                <w:szCs w:val="21"/>
              </w:rPr>
              <w:t>序号</w:t>
            </w:r>
          </w:p>
        </w:tc>
        <w:tc>
          <w:tcPr>
            <w:tcW w:w="1095" w:type="dxa"/>
            <w:tcBorders>
              <w:bottom w:val="single" w:color="auto" w:sz="4" w:space="0"/>
            </w:tcBorders>
          </w:tcPr>
          <w:p w14:paraId="6E3DBF3C">
            <w:pPr>
              <w:jc w:val="center"/>
              <w:rPr>
                <w:rFonts w:ascii="仿宋" w:hAnsi="仿宋" w:eastAsia="仿宋" w:cs="仿宋"/>
                <w:b/>
                <w:bCs/>
                <w:kern w:val="0"/>
                <w:szCs w:val="21"/>
              </w:rPr>
            </w:pPr>
            <w:r>
              <w:rPr>
                <w:rFonts w:hint="eastAsia" w:ascii="仿宋" w:hAnsi="仿宋" w:eastAsia="仿宋" w:cs="仿宋"/>
                <w:b/>
                <w:bCs/>
                <w:kern w:val="0"/>
                <w:szCs w:val="21"/>
              </w:rPr>
              <w:t>碳排放源类型</w:t>
            </w:r>
          </w:p>
        </w:tc>
        <w:tc>
          <w:tcPr>
            <w:tcW w:w="1410" w:type="dxa"/>
            <w:tcBorders>
              <w:bottom w:val="single" w:color="auto" w:sz="4" w:space="0"/>
            </w:tcBorders>
          </w:tcPr>
          <w:p w14:paraId="1F234149">
            <w:pPr>
              <w:jc w:val="center"/>
              <w:rPr>
                <w:rFonts w:ascii="仿宋" w:hAnsi="仿宋" w:eastAsia="仿宋" w:cs="仿宋"/>
                <w:b/>
                <w:bCs/>
                <w:kern w:val="0"/>
                <w:szCs w:val="21"/>
              </w:rPr>
            </w:pPr>
            <w:r>
              <w:rPr>
                <w:rFonts w:hint="eastAsia" w:ascii="仿宋" w:hAnsi="仿宋" w:eastAsia="仿宋" w:cs="仿宋"/>
                <w:b/>
                <w:bCs/>
                <w:kern w:val="0"/>
                <w:szCs w:val="21"/>
              </w:rPr>
              <w:t>排放活动示例</w:t>
            </w:r>
          </w:p>
        </w:tc>
        <w:tc>
          <w:tcPr>
            <w:tcW w:w="1755" w:type="dxa"/>
            <w:tcBorders>
              <w:bottom w:val="single" w:color="auto" w:sz="4" w:space="0"/>
            </w:tcBorders>
          </w:tcPr>
          <w:p w14:paraId="3D59B307">
            <w:pPr>
              <w:jc w:val="center"/>
              <w:rPr>
                <w:rFonts w:ascii="仿宋" w:hAnsi="仿宋" w:eastAsia="仿宋" w:cs="仿宋"/>
                <w:b/>
                <w:bCs/>
                <w:kern w:val="0"/>
                <w:szCs w:val="21"/>
              </w:rPr>
            </w:pPr>
            <w:r>
              <w:rPr>
                <w:rFonts w:hint="eastAsia" w:ascii="仿宋" w:hAnsi="仿宋" w:eastAsia="仿宋" w:cs="仿宋"/>
                <w:b/>
                <w:bCs/>
                <w:kern w:val="0"/>
                <w:szCs w:val="21"/>
              </w:rPr>
              <w:t>活动水平数据种类</w:t>
            </w:r>
          </w:p>
          <w:p w14:paraId="3915DD1B">
            <w:pPr>
              <w:jc w:val="center"/>
              <w:rPr>
                <w:rFonts w:ascii="仿宋" w:hAnsi="仿宋" w:eastAsia="仿宋" w:cs="仿宋"/>
                <w:b/>
                <w:bCs/>
                <w:kern w:val="0"/>
                <w:szCs w:val="21"/>
              </w:rPr>
            </w:pPr>
            <w:r>
              <w:rPr>
                <w:rFonts w:hint="eastAsia" w:ascii="仿宋" w:hAnsi="仿宋" w:eastAsia="仿宋" w:cs="仿宋"/>
                <w:b/>
                <w:bCs/>
                <w:kern w:val="0"/>
                <w:szCs w:val="21"/>
              </w:rPr>
              <w:t>（包括但不限于）</w:t>
            </w:r>
          </w:p>
        </w:tc>
        <w:tc>
          <w:tcPr>
            <w:tcW w:w="3577" w:type="dxa"/>
            <w:tcBorders>
              <w:bottom w:val="single" w:color="auto" w:sz="4" w:space="0"/>
            </w:tcBorders>
          </w:tcPr>
          <w:p w14:paraId="56B7EE47">
            <w:pPr>
              <w:jc w:val="center"/>
              <w:rPr>
                <w:rFonts w:ascii="仿宋" w:hAnsi="仿宋" w:eastAsia="仿宋" w:cs="仿宋"/>
                <w:b/>
                <w:bCs/>
                <w:kern w:val="0"/>
                <w:szCs w:val="21"/>
              </w:rPr>
            </w:pPr>
            <w:r>
              <w:rPr>
                <w:rFonts w:hint="eastAsia" w:ascii="仿宋" w:hAnsi="仿宋" w:eastAsia="仿宋" w:cs="仿宋"/>
                <w:b/>
                <w:bCs/>
                <w:kern w:val="0"/>
                <w:szCs w:val="21"/>
              </w:rPr>
              <w:t>活动水平数据来源</w:t>
            </w:r>
          </w:p>
          <w:p w14:paraId="25DD5DE6">
            <w:pPr>
              <w:jc w:val="center"/>
              <w:rPr>
                <w:rFonts w:ascii="仿宋" w:hAnsi="仿宋" w:eastAsia="仿宋" w:cs="仿宋"/>
                <w:b/>
                <w:bCs/>
                <w:kern w:val="0"/>
                <w:szCs w:val="21"/>
              </w:rPr>
            </w:pPr>
            <w:r>
              <w:rPr>
                <w:rFonts w:hint="eastAsia" w:ascii="仿宋" w:hAnsi="仿宋" w:eastAsia="仿宋" w:cs="仿宋"/>
                <w:b/>
                <w:bCs/>
                <w:kern w:val="0"/>
                <w:szCs w:val="21"/>
              </w:rPr>
              <w:t>（包括但不限于）</w:t>
            </w:r>
          </w:p>
        </w:tc>
      </w:tr>
      <w:tr w14:paraId="43934C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84" w:type="dxa"/>
            <w:tcBorders>
              <w:top w:val="single" w:color="auto" w:sz="4" w:space="0"/>
              <w:tl2br w:val="nil"/>
              <w:tr2bl w:val="nil"/>
            </w:tcBorders>
          </w:tcPr>
          <w:p w14:paraId="6D7BF4AA">
            <w:pPr>
              <w:jc w:val="center"/>
              <w:rPr>
                <w:rFonts w:ascii="仿宋" w:hAnsi="仿宋" w:eastAsia="仿宋" w:cs="仿宋"/>
                <w:kern w:val="0"/>
                <w:szCs w:val="21"/>
              </w:rPr>
            </w:pPr>
            <w:r>
              <w:rPr>
                <w:rFonts w:hint="eastAsia" w:ascii="仿宋" w:hAnsi="仿宋" w:eastAsia="仿宋" w:cs="仿宋"/>
                <w:kern w:val="0"/>
                <w:szCs w:val="21"/>
              </w:rPr>
              <w:t>1</w:t>
            </w:r>
          </w:p>
        </w:tc>
        <w:tc>
          <w:tcPr>
            <w:tcW w:w="1095" w:type="dxa"/>
            <w:tcBorders>
              <w:top w:val="single" w:color="auto" w:sz="4" w:space="0"/>
              <w:tl2br w:val="nil"/>
              <w:tr2bl w:val="nil"/>
            </w:tcBorders>
          </w:tcPr>
          <w:p w14:paraId="0D81F8D1">
            <w:pPr>
              <w:jc w:val="center"/>
              <w:rPr>
                <w:rFonts w:ascii="仿宋" w:hAnsi="仿宋" w:eastAsia="仿宋" w:cs="仿宋"/>
                <w:kern w:val="0"/>
                <w:szCs w:val="21"/>
              </w:rPr>
            </w:pPr>
            <w:r>
              <w:rPr>
                <w:rFonts w:hint="eastAsia" w:ascii="仿宋" w:hAnsi="仿宋" w:eastAsia="仿宋" w:cs="仿宋"/>
                <w:kern w:val="0"/>
                <w:szCs w:val="21"/>
              </w:rPr>
              <w:t>固定燃烧源排放</w:t>
            </w:r>
          </w:p>
        </w:tc>
        <w:tc>
          <w:tcPr>
            <w:tcW w:w="1410" w:type="dxa"/>
            <w:tcBorders>
              <w:top w:val="single" w:color="auto" w:sz="4" w:space="0"/>
              <w:tl2br w:val="nil"/>
              <w:tr2bl w:val="nil"/>
            </w:tcBorders>
          </w:tcPr>
          <w:p w14:paraId="497B9AC2">
            <w:pPr>
              <w:jc w:val="center"/>
              <w:rPr>
                <w:rFonts w:ascii="仿宋" w:hAnsi="仿宋" w:eastAsia="仿宋" w:cs="仿宋"/>
                <w:kern w:val="0"/>
                <w:szCs w:val="21"/>
              </w:rPr>
            </w:pPr>
            <w:r>
              <w:rPr>
                <w:rFonts w:hint="eastAsia" w:ascii="仿宋" w:hAnsi="仿宋" w:eastAsia="仿宋" w:cs="仿宋"/>
                <w:kern w:val="0"/>
                <w:szCs w:val="21"/>
              </w:rPr>
              <w:t>生产电力、热力或蒸汽的燃料燃烧</w:t>
            </w:r>
          </w:p>
        </w:tc>
        <w:tc>
          <w:tcPr>
            <w:tcW w:w="1755" w:type="dxa"/>
            <w:tcBorders>
              <w:top w:val="single" w:color="auto" w:sz="4" w:space="0"/>
              <w:tl2br w:val="nil"/>
              <w:tr2bl w:val="nil"/>
            </w:tcBorders>
          </w:tcPr>
          <w:p w14:paraId="00E52746">
            <w:pPr>
              <w:jc w:val="center"/>
              <w:rPr>
                <w:rFonts w:ascii="仿宋" w:hAnsi="仿宋" w:eastAsia="仿宋" w:cs="仿宋"/>
                <w:kern w:val="0"/>
                <w:szCs w:val="21"/>
              </w:rPr>
            </w:pPr>
            <w:r>
              <w:rPr>
                <w:rFonts w:hint="eastAsia" w:ascii="仿宋" w:hAnsi="仿宋" w:eastAsia="仿宋" w:cs="仿宋"/>
                <w:kern w:val="0"/>
                <w:szCs w:val="21"/>
              </w:rPr>
              <w:t>煤、油、气等燃料消耗量</w:t>
            </w:r>
          </w:p>
        </w:tc>
        <w:tc>
          <w:tcPr>
            <w:tcW w:w="3577" w:type="dxa"/>
            <w:tcBorders>
              <w:top w:val="single" w:color="auto" w:sz="4" w:space="0"/>
              <w:tl2br w:val="nil"/>
              <w:tr2bl w:val="nil"/>
            </w:tcBorders>
          </w:tcPr>
          <w:p w14:paraId="287CF1BC">
            <w:pPr>
              <w:numPr>
                <w:ilvl w:val="0"/>
                <w:numId w:val="5"/>
              </w:numPr>
              <w:jc w:val="left"/>
              <w:rPr>
                <w:rFonts w:ascii="仿宋" w:hAnsi="仿宋" w:eastAsia="仿宋" w:cs="仿宋"/>
                <w:kern w:val="0"/>
                <w:szCs w:val="21"/>
              </w:rPr>
            </w:pPr>
            <w:r>
              <w:rPr>
                <w:rFonts w:hint="eastAsia" w:ascii="仿宋" w:hAnsi="仿宋" w:eastAsia="仿宋" w:cs="仿宋"/>
                <w:kern w:val="0"/>
                <w:szCs w:val="21"/>
              </w:rPr>
              <w:t>设备监测或计量数据；</w:t>
            </w:r>
          </w:p>
          <w:p w14:paraId="6212C110">
            <w:pPr>
              <w:numPr>
                <w:ilvl w:val="0"/>
                <w:numId w:val="5"/>
              </w:numPr>
              <w:jc w:val="left"/>
              <w:rPr>
                <w:rFonts w:ascii="仿宋" w:hAnsi="仿宋" w:eastAsia="仿宋" w:cs="仿宋"/>
                <w:kern w:val="0"/>
                <w:szCs w:val="21"/>
              </w:rPr>
            </w:pPr>
            <w:r>
              <w:rPr>
                <w:rFonts w:hint="eastAsia" w:ascii="仿宋" w:hAnsi="仿宋" w:eastAsia="仿宋" w:cs="仿宋"/>
                <w:kern w:val="0"/>
                <w:szCs w:val="21"/>
              </w:rPr>
              <w:t>采购部门能源供货单、购货发票、缴费凭证；</w:t>
            </w:r>
          </w:p>
          <w:p w14:paraId="1ABF1A85">
            <w:pPr>
              <w:numPr>
                <w:ilvl w:val="0"/>
                <w:numId w:val="5"/>
              </w:numPr>
              <w:jc w:val="left"/>
              <w:rPr>
                <w:rFonts w:ascii="仿宋" w:hAnsi="仿宋" w:eastAsia="仿宋" w:cs="仿宋"/>
                <w:kern w:val="0"/>
                <w:szCs w:val="21"/>
              </w:rPr>
            </w:pPr>
            <w:r>
              <w:rPr>
                <w:rFonts w:hint="eastAsia" w:ascii="仿宋" w:hAnsi="仿宋" w:eastAsia="仿宋" w:cs="仿宋"/>
                <w:kern w:val="0"/>
                <w:szCs w:val="21"/>
              </w:rPr>
              <w:t>财务部门财务成本报表，涉及能源、动力帐等部分；</w:t>
            </w:r>
          </w:p>
          <w:p w14:paraId="1E296386">
            <w:pPr>
              <w:numPr>
                <w:ilvl w:val="0"/>
                <w:numId w:val="5"/>
              </w:numPr>
              <w:jc w:val="left"/>
              <w:rPr>
                <w:rFonts w:ascii="仿宋" w:hAnsi="仿宋" w:eastAsia="仿宋" w:cs="仿宋"/>
                <w:kern w:val="0"/>
                <w:szCs w:val="21"/>
              </w:rPr>
            </w:pPr>
            <w:r>
              <w:rPr>
                <w:rFonts w:hint="eastAsia" w:ascii="仿宋" w:hAnsi="仿宋" w:eastAsia="仿宋" w:cs="仿宋"/>
                <w:kern w:val="0"/>
                <w:szCs w:val="21"/>
              </w:rPr>
              <w:t>节能（能源）部门的能源消耗台帐。</w:t>
            </w:r>
          </w:p>
        </w:tc>
      </w:tr>
      <w:tr w14:paraId="5705A3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84" w:type="dxa"/>
            <w:tcBorders>
              <w:tl2br w:val="nil"/>
              <w:tr2bl w:val="nil"/>
            </w:tcBorders>
          </w:tcPr>
          <w:p w14:paraId="370F5835">
            <w:pPr>
              <w:jc w:val="center"/>
              <w:rPr>
                <w:rFonts w:ascii="仿宋" w:hAnsi="仿宋" w:eastAsia="仿宋" w:cs="仿宋"/>
                <w:kern w:val="0"/>
                <w:szCs w:val="21"/>
              </w:rPr>
            </w:pPr>
            <w:r>
              <w:rPr>
                <w:rFonts w:hint="eastAsia" w:ascii="仿宋" w:hAnsi="仿宋" w:eastAsia="仿宋" w:cs="仿宋"/>
                <w:kern w:val="0"/>
                <w:szCs w:val="21"/>
              </w:rPr>
              <w:t>2</w:t>
            </w:r>
          </w:p>
        </w:tc>
        <w:tc>
          <w:tcPr>
            <w:tcW w:w="1095" w:type="dxa"/>
            <w:tcBorders>
              <w:tl2br w:val="nil"/>
              <w:tr2bl w:val="nil"/>
            </w:tcBorders>
          </w:tcPr>
          <w:p w14:paraId="41D37371">
            <w:pPr>
              <w:jc w:val="center"/>
              <w:rPr>
                <w:rFonts w:ascii="仿宋" w:hAnsi="仿宋" w:eastAsia="仿宋" w:cs="仿宋"/>
                <w:kern w:val="0"/>
                <w:szCs w:val="21"/>
              </w:rPr>
            </w:pPr>
            <w:r>
              <w:rPr>
                <w:rFonts w:hint="eastAsia" w:ascii="仿宋" w:hAnsi="仿宋" w:eastAsia="仿宋" w:cs="仿宋"/>
                <w:kern w:val="0"/>
                <w:szCs w:val="21"/>
              </w:rPr>
              <w:t>移动燃烧源排放</w:t>
            </w:r>
          </w:p>
        </w:tc>
        <w:tc>
          <w:tcPr>
            <w:tcW w:w="1410" w:type="dxa"/>
            <w:tcBorders>
              <w:tl2br w:val="nil"/>
              <w:tr2bl w:val="nil"/>
            </w:tcBorders>
          </w:tcPr>
          <w:p w14:paraId="4A2CC66B">
            <w:pPr>
              <w:jc w:val="center"/>
              <w:rPr>
                <w:rFonts w:ascii="仿宋" w:hAnsi="仿宋" w:eastAsia="仿宋" w:cs="仿宋"/>
                <w:kern w:val="0"/>
                <w:szCs w:val="21"/>
              </w:rPr>
            </w:pPr>
            <w:r>
              <w:rPr>
                <w:rFonts w:hint="eastAsia" w:ascii="仿宋" w:hAnsi="仿宋" w:eastAsia="仿宋" w:cs="仿宋"/>
                <w:kern w:val="0"/>
                <w:szCs w:val="21"/>
              </w:rPr>
              <w:t>运输工具的燃料燃烧</w:t>
            </w:r>
          </w:p>
        </w:tc>
        <w:tc>
          <w:tcPr>
            <w:tcW w:w="1755" w:type="dxa"/>
            <w:tcBorders>
              <w:tl2br w:val="nil"/>
              <w:tr2bl w:val="nil"/>
            </w:tcBorders>
          </w:tcPr>
          <w:p w14:paraId="7750E505">
            <w:pPr>
              <w:jc w:val="center"/>
              <w:rPr>
                <w:rFonts w:ascii="仿宋" w:hAnsi="仿宋" w:eastAsia="仿宋" w:cs="仿宋"/>
                <w:kern w:val="0"/>
                <w:szCs w:val="21"/>
              </w:rPr>
            </w:pPr>
            <w:r>
              <w:rPr>
                <w:rFonts w:hint="eastAsia" w:ascii="仿宋" w:hAnsi="仿宋" w:eastAsia="仿宋" w:cs="仿宋"/>
                <w:kern w:val="0"/>
                <w:szCs w:val="21"/>
              </w:rPr>
              <w:t>油、气等燃料消耗量</w:t>
            </w:r>
          </w:p>
        </w:tc>
        <w:tc>
          <w:tcPr>
            <w:tcW w:w="3577" w:type="dxa"/>
            <w:tcBorders>
              <w:tl2br w:val="nil"/>
              <w:tr2bl w:val="nil"/>
            </w:tcBorders>
          </w:tcPr>
          <w:p w14:paraId="7B8D7660">
            <w:pPr>
              <w:numPr>
                <w:ilvl w:val="0"/>
                <w:numId w:val="5"/>
              </w:numPr>
              <w:jc w:val="left"/>
              <w:rPr>
                <w:rFonts w:ascii="仿宋" w:hAnsi="仿宋" w:eastAsia="仿宋" w:cs="仿宋"/>
                <w:kern w:val="0"/>
                <w:szCs w:val="21"/>
              </w:rPr>
            </w:pPr>
            <w:r>
              <w:rPr>
                <w:rFonts w:hint="eastAsia" w:ascii="仿宋" w:hAnsi="仿宋" w:eastAsia="仿宋" w:cs="仿宋"/>
                <w:kern w:val="0"/>
                <w:szCs w:val="21"/>
              </w:rPr>
              <w:t>车辆里程数；</w:t>
            </w:r>
          </w:p>
          <w:p w14:paraId="2A8177A5">
            <w:pPr>
              <w:numPr>
                <w:ilvl w:val="0"/>
                <w:numId w:val="5"/>
              </w:numPr>
              <w:jc w:val="left"/>
              <w:rPr>
                <w:rFonts w:ascii="仿宋" w:hAnsi="仿宋" w:eastAsia="仿宋" w:cs="仿宋"/>
                <w:kern w:val="0"/>
                <w:szCs w:val="21"/>
              </w:rPr>
            </w:pPr>
            <w:r>
              <w:rPr>
                <w:rFonts w:hint="eastAsia" w:ascii="仿宋" w:hAnsi="仿宋" w:eastAsia="仿宋" w:cs="仿宋"/>
                <w:kern w:val="0"/>
                <w:szCs w:val="21"/>
              </w:rPr>
              <w:t>采购部门能源供货单、购货发票、缴费凭证；</w:t>
            </w:r>
          </w:p>
          <w:p w14:paraId="1A3678BA">
            <w:pPr>
              <w:numPr>
                <w:ilvl w:val="0"/>
                <w:numId w:val="5"/>
              </w:numPr>
              <w:jc w:val="left"/>
              <w:rPr>
                <w:rFonts w:ascii="仿宋" w:hAnsi="仿宋" w:eastAsia="仿宋" w:cs="仿宋"/>
                <w:kern w:val="0"/>
                <w:szCs w:val="21"/>
              </w:rPr>
            </w:pPr>
            <w:r>
              <w:rPr>
                <w:rFonts w:hint="eastAsia" w:ascii="仿宋" w:hAnsi="仿宋" w:eastAsia="仿宋" w:cs="仿宋"/>
                <w:kern w:val="0"/>
                <w:szCs w:val="21"/>
              </w:rPr>
              <w:t>财务部门财务成本报表，涉及能源、动力帐等部分；</w:t>
            </w:r>
          </w:p>
        </w:tc>
      </w:tr>
      <w:tr w14:paraId="39E167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84" w:type="dxa"/>
            <w:tcBorders>
              <w:tl2br w:val="nil"/>
              <w:tr2bl w:val="nil"/>
            </w:tcBorders>
          </w:tcPr>
          <w:p w14:paraId="1DD75BD1">
            <w:pPr>
              <w:jc w:val="center"/>
              <w:rPr>
                <w:rFonts w:ascii="仿宋" w:hAnsi="仿宋" w:eastAsia="仿宋" w:cs="仿宋"/>
                <w:kern w:val="0"/>
                <w:szCs w:val="21"/>
              </w:rPr>
            </w:pPr>
            <w:r>
              <w:rPr>
                <w:rFonts w:hint="eastAsia" w:ascii="仿宋" w:hAnsi="仿宋" w:eastAsia="仿宋" w:cs="仿宋"/>
                <w:kern w:val="0"/>
                <w:szCs w:val="21"/>
              </w:rPr>
              <w:t>3</w:t>
            </w:r>
          </w:p>
        </w:tc>
        <w:tc>
          <w:tcPr>
            <w:tcW w:w="1095" w:type="dxa"/>
            <w:tcBorders>
              <w:tl2br w:val="nil"/>
              <w:tr2bl w:val="nil"/>
            </w:tcBorders>
          </w:tcPr>
          <w:p w14:paraId="4B260C01">
            <w:pPr>
              <w:jc w:val="center"/>
              <w:rPr>
                <w:rFonts w:ascii="仿宋" w:hAnsi="仿宋" w:eastAsia="仿宋" w:cs="仿宋"/>
                <w:kern w:val="0"/>
                <w:szCs w:val="21"/>
              </w:rPr>
            </w:pPr>
            <w:r>
              <w:rPr>
                <w:rFonts w:hint="eastAsia" w:ascii="仿宋" w:hAnsi="仿宋" w:eastAsia="仿宋" w:cs="仿宋"/>
                <w:kern w:val="0"/>
                <w:szCs w:val="21"/>
              </w:rPr>
              <w:t>过程排放</w:t>
            </w:r>
          </w:p>
        </w:tc>
        <w:tc>
          <w:tcPr>
            <w:tcW w:w="1410" w:type="dxa"/>
            <w:tcBorders>
              <w:tl2br w:val="nil"/>
              <w:tr2bl w:val="nil"/>
            </w:tcBorders>
          </w:tcPr>
          <w:p w14:paraId="63A4C750">
            <w:pPr>
              <w:jc w:val="center"/>
              <w:rPr>
                <w:rFonts w:ascii="仿宋" w:hAnsi="仿宋" w:eastAsia="仿宋" w:cs="仿宋"/>
                <w:kern w:val="0"/>
                <w:szCs w:val="21"/>
              </w:rPr>
            </w:pPr>
            <w:r>
              <w:rPr>
                <w:rFonts w:hint="eastAsia" w:ascii="仿宋" w:hAnsi="仿宋" w:eastAsia="仿宋" w:cs="仿宋"/>
                <w:kern w:val="0"/>
                <w:szCs w:val="21"/>
              </w:rPr>
              <w:t>物理或化学工艺</w:t>
            </w:r>
          </w:p>
        </w:tc>
        <w:tc>
          <w:tcPr>
            <w:tcW w:w="1755" w:type="dxa"/>
            <w:tcBorders>
              <w:tl2br w:val="nil"/>
              <w:tr2bl w:val="nil"/>
            </w:tcBorders>
          </w:tcPr>
          <w:p w14:paraId="516E3AA5">
            <w:pPr>
              <w:jc w:val="center"/>
              <w:rPr>
                <w:rFonts w:ascii="仿宋" w:hAnsi="仿宋" w:eastAsia="仿宋" w:cs="仿宋"/>
                <w:kern w:val="0"/>
                <w:szCs w:val="21"/>
              </w:rPr>
            </w:pPr>
            <w:r>
              <w:rPr>
                <w:rFonts w:hint="eastAsia" w:ascii="仿宋" w:hAnsi="仿宋" w:eastAsia="仿宋" w:cs="仿宋"/>
                <w:kern w:val="0"/>
                <w:szCs w:val="21"/>
              </w:rPr>
              <w:t>化学产品和原料</w:t>
            </w:r>
          </w:p>
        </w:tc>
        <w:tc>
          <w:tcPr>
            <w:tcW w:w="3577" w:type="dxa"/>
            <w:tcBorders>
              <w:tl2br w:val="nil"/>
              <w:tr2bl w:val="nil"/>
            </w:tcBorders>
          </w:tcPr>
          <w:p w14:paraId="7B59DA00">
            <w:pPr>
              <w:numPr>
                <w:ilvl w:val="0"/>
                <w:numId w:val="5"/>
              </w:numPr>
              <w:jc w:val="left"/>
              <w:rPr>
                <w:rFonts w:ascii="仿宋" w:hAnsi="仿宋" w:eastAsia="仿宋" w:cs="仿宋"/>
                <w:kern w:val="0"/>
                <w:szCs w:val="21"/>
              </w:rPr>
            </w:pPr>
            <w:r>
              <w:rPr>
                <w:rFonts w:hint="eastAsia" w:ascii="仿宋" w:hAnsi="仿宋" w:eastAsia="仿宋" w:cs="仿宋"/>
                <w:kern w:val="0"/>
                <w:szCs w:val="21"/>
              </w:rPr>
              <w:t>采购部门相关产品供货单、购货发票、缴费凭证；</w:t>
            </w:r>
          </w:p>
          <w:p w14:paraId="10CC8CDD">
            <w:pPr>
              <w:numPr>
                <w:ilvl w:val="0"/>
                <w:numId w:val="5"/>
              </w:numPr>
              <w:jc w:val="left"/>
              <w:rPr>
                <w:rFonts w:ascii="仿宋" w:hAnsi="仿宋" w:eastAsia="仿宋" w:cs="仿宋"/>
                <w:kern w:val="0"/>
                <w:szCs w:val="21"/>
              </w:rPr>
            </w:pPr>
            <w:r>
              <w:rPr>
                <w:rFonts w:hint="eastAsia" w:ascii="仿宋" w:hAnsi="仿宋" w:eastAsia="仿宋" w:cs="仿宋"/>
                <w:kern w:val="0"/>
                <w:szCs w:val="21"/>
              </w:rPr>
              <w:t>财务部门财务成本报表，涉及产品等部分；</w:t>
            </w:r>
          </w:p>
          <w:p w14:paraId="39FA720A">
            <w:pPr>
              <w:numPr>
                <w:ilvl w:val="0"/>
                <w:numId w:val="5"/>
              </w:numPr>
              <w:jc w:val="left"/>
              <w:rPr>
                <w:rFonts w:ascii="仿宋" w:hAnsi="仿宋" w:eastAsia="仿宋" w:cs="仿宋"/>
                <w:kern w:val="0"/>
                <w:szCs w:val="21"/>
              </w:rPr>
            </w:pPr>
            <w:r>
              <w:rPr>
                <w:rFonts w:hint="eastAsia" w:ascii="仿宋" w:hAnsi="仿宋" w:eastAsia="仿宋" w:cs="仿宋"/>
                <w:kern w:val="0"/>
                <w:szCs w:val="21"/>
              </w:rPr>
              <w:t>相关部门工作记录台帐；</w:t>
            </w:r>
          </w:p>
        </w:tc>
      </w:tr>
      <w:tr w14:paraId="28CAEF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84" w:type="dxa"/>
            <w:tcBorders>
              <w:tl2br w:val="nil"/>
              <w:tr2bl w:val="nil"/>
            </w:tcBorders>
          </w:tcPr>
          <w:p w14:paraId="38EE20B7">
            <w:pPr>
              <w:jc w:val="center"/>
              <w:rPr>
                <w:rFonts w:ascii="仿宋" w:hAnsi="仿宋" w:eastAsia="仿宋" w:cs="仿宋"/>
                <w:kern w:val="0"/>
                <w:szCs w:val="21"/>
              </w:rPr>
            </w:pPr>
            <w:r>
              <w:rPr>
                <w:rFonts w:hint="eastAsia" w:ascii="仿宋" w:hAnsi="仿宋" w:eastAsia="仿宋" w:cs="仿宋"/>
                <w:kern w:val="0"/>
                <w:szCs w:val="21"/>
              </w:rPr>
              <w:t>4</w:t>
            </w:r>
          </w:p>
        </w:tc>
        <w:tc>
          <w:tcPr>
            <w:tcW w:w="1095" w:type="dxa"/>
            <w:tcBorders>
              <w:tl2br w:val="nil"/>
              <w:tr2bl w:val="nil"/>
            </w:tcBorders>
          </w:tcPr>
          <w:p w14:paraId="2FAC3077">
            <w:pPr>
              <w:jc w:val="center"/>
              <w:rPr>
                <w:rFonts w:ascii="仿宋" w:hAnsi="仿宋" w:eastAsia="仿宋" w:cs="仿宋"/>
                <w:kern w:val="0"/>
                <w:szCs w:val="21"/>
              </w:rPr>
            </w:pPr>
            <w:r>
              <w:rPr>
                <w:rFonts w:hint="eastAsia" w:ascii="仿宋" w:hAnsi="仿宋" w:eastAsia="仿宋" w:cs="仿宋"/>
                <w:kern w:val="0"/>
                <w:szCs w:val="21"/>
              </w:rPr>
              <w:t>外购电力</w:t>
            </w:r>
          </w:p>
        </w:tc>
        <w:tc>
          <w:tcPr>
            <w:tcW w:w="1410" w:type="dxa"/>
            <w:tcBorders>
              <w:tl2br w:val="nil"/>
              <w:tr2bl w:val="nil"/>
            </w:tcBorders>
          </w:tcPr>
          <w:p w14:paraId="47AA642D">
            <w:pPr>
              <w:jc w:val="center"/>
              <w:rPr>
                <w:rFonts w:ascii="仿宋" w:hAnsi="仿宋" w:eastAsia="仿宋" w:cs="仿宋"/>
                <w:kern w:val="0"/>
                <w:szCs w:val="21"/>
              </w:rPr>
            </w:pPr>
            <w:r>
              <w:rPr>
                <w:rFonts w:hint="eastAsia" w:ascii="仿宋" w:hAnsi="仿宋" w:eastAsia="仿宋" w:cs="仿宋"/>
                <w:kern w:val="0"/>
                <w:szCs w:val="21"/>
              </w:rPr>
              <w:t>电力消费</w:t>
            </w:r>
          </w:p>
        </w:tc>
        <w:tc>
          <w:tcPr>
            <w:tcW w:w="1755" w:type="dxa"/>
            <w:tcBorders>
              <w:tl2br w:val="nil"/>
              <w:tr2bl w:val="nil"/>
            </w:tcBorders>
          </w:tcPr>
          <w:p w14:paraId="43C0DE05">
            <w:pPr>
              <w:jc w:val="center"/>
              <w:rPr>
                <w:rFonts w:ascii="仿宋" w:hAnsi="仿宋" w:eastAsia="仿宋" w:cs="仿宋"/>
                <w:kern w:val="0"/>
                <w:szCs w:val="21"/>
              </w:rPr>
            </w:pPr>
            <w:r>
              <w:rPr>
                <w:rFonts w:hint="eastAsia" w:ascii="仿宋" w:hAnsi="仿宋" w:eastAsia="仿宋" w:cs="仿宋"/>
                <w:kern w:val="0"/>
                <w:szCs w:val="21"/>
              </w:rPr>
              <w:t>外购电力量</w:t>
            </w:r>
          </w:p>
        </w:tc>
        <w:tc>
          <w:tcPr>
            <w:tcW w:w="3577" w:type="dxa"/>
            <w:vMerge w:val="restart"/>
            <w:tcBorders>
              <w:tl2br w:val="nil"/>
              <w:tr2bl w:val="nil"/>
            </w:tcBorders>
          </w:tcPr>
          <w:p w14:paraId="20B15B3C">
            <w:pPr>
              <w:numPr>
                <w:ilvl w:val="0"/>
                <w:numId w:val="5"/>
              </w:numPr>
              <w:jc w:val="left"/>
              <w:rPr>
                <w:rFonts w:ascii="仿宋" w:hAnsi="仿宋" w:eastAsia="仿宋" w:cs="仿宋"/>
                <w:kern w:val="0"/>
                <w:szCs w:val="21"/>
              </w:rPr>
            </w:pPr>
            <w:r>
              <w:rPr>
                <w:rFonts w:hint="eastAsia" w:ascii="仿宋" w:hAnsi="仿宋" w:eastAsia="仿宋" w:cs="仿宋"/>
                <w:kern w:val="0"/>
                <w:szCs w:val="21"/>
              </w:rPr>
              <w:t>设备监测或计量数据；</w:t>
            </w:r>
          </w:p>
          <w:p w14:paraId="67AA2E0B">
            <w:pPr>
              <w:numPr>
                <w:ilvl w:val="0"/>
                <w:numId w:val="5"/>
              </w:numPr>
              <w:jc w:val="left"/>
              <w:rPr>
                <w:rFonts w:ascii="仿宋" w:hAnsi="仿宋" w:eastAsia="仿宋" w:cs="仿宋"/>
                <w:kern w:val="0"/>
                <w:szCs w:val="21"/>
              </w:rPr>
            </w:pPr>
            <w:r>
              <w:rPr>
                <w:rFonts w:hint="eastAsia" w:ascii="仿宋" w:hAnsi="仿宋" w:eastAsia="仿宋" w:cs="仿宋"/>
                <w:kern w:val="0"/>
                <w:szCs w:val="21"/>
              </w:rPr>
              <w:t>采购部门能源供货单、购货发票、缴费凭证；</w:t>
            </w:r>
          </w:p>
          <w:p w14:paraId="1F43BA52">
            <w:pPr>
              <w:numPr>
                <w:ilvl w:val="0"/>
                <w:numId w:val="5"/>
              </w:numPr>
              <w:jc w:val="left"/>
              <w:rPr>
                <w:rFonts w:ascii="仿宋" w:hAnsi="仿宋" w:eastAsia="仿宋" w:cs="仿宋"/>
                <w:kern w:val="0"/>
                <w:szCs w:val="21"/>
              </w:rPr>
            </w:pPr>
            <w:r>
              <w:rPr>
                <w:rFonts w:hint="eastAsia" w:ascii="仿宋" w:hAnsi="仿宋" w:eastAsia="仿宋" w:cs="仿宋"/>
                <w:kern w:val="0"/>
                <w:szCs w:val="21"/>
              </w:rPr>
              <w:t>财务部门财务成本报表，涉及能源、动力帐等部分；</w:t>
            </w:r>
          </w:p>
          <w:p w14:paraId="3EF91F45">
            <w:pPr>
              <w:numPr>
                <w:ilvl w:val="0"/>
                <w:numId w:val="5"/>
              </w:numPr>
              <w:jc w:val="left"/>
              <w:rPr>
                <w:rFonts w:ascii="仿宋" w:hAnsi="仿宋" w:eastAsia="仿宋" w:cs="仿宋"/>
                <w:kern w:val="0"/>
                <w:szCs w:val="21"/>
              </w:rPr>
            </w:pPr>
            <w:r>
              <w:rPr>
                <w:rFonts w:hint="eastAsia" w:ascii="仿宋" w:hAnsi="仿宋" w:eastAsia="仿宋" w:cs="仿宋"/>
                <w:kern w:val="0"/>
                <w:szCs w:val="21"/>
              </w:rPr>
              <w:t>节能（能源）部门能源消耗台帐；</w:t>
            </w:r>
          </w:p>
          <w:p w14:paraId="446F8D5D">
            <w:pPr>
              <w:numPr>
                <w:ilvl w:val="0"/>
                <w:numId w:val="5"/>
              </w:numPr>
              <w:jc w:val="left"/>
              <w:rPr>
                <w:rFonts w:ascii="仿宋" w:hAnsi="仿宋" w:eastAsia="仿宋" w:cs="仿宋"/>
                <w:kern w:val="0"/>
                <w:szCs w:val="21"/>
              </w:rPr>
            </w:pPr>
            <w:r>
              <w:rPr>
                <w:rFonts w:hint="eastAsia" w:ascii="仿宋" w:hAnsi="仿宋" w:eastAsia="仿宋" w:cs="仿宋"/>
                <w:kern w:val="0"/>
                <w:szCs w:val="21"/>
              </w:rPr>
              <w:t>各车间、工序及重点耗能设备的运行记录。</w:t>
            </w:r>
          </w:p>
        </w:tc>
      </w:tr>
      <w:tr w14:paraId="4DF7F5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84" w:type="dxa"/>
            <w:tcBorders>
              <w:tl2br w:val="nil"/>
              <w:tr2bl w:val="nil"/>
            </w:tcBorders>
          </w:tcPr>
          <w:p w14:paraId="725CD7A0">
            <w:pPr>
              <w:jc w:val="center"/>
              <w:rPr>
                <w:rFonts w:ascii="仿宋" w:hAnsi="仿宋" w:eastAsia="仿宋" w:cs="仿宋"/>
                <w:kern w:val="0"/>
                <w:szCs w:val="21"/>
              </w:rPr>
            </w:pPr>
            <w:r>
              <w:rPr>
                <w:rFonts w:hint="eastAsia" w:ascii="仿宋" w:hAnsi="仿宋" w:eastAsia="仿宋" w:cs="仿宋"/>
                <w:kern w:val="0"/>
                <w:szCs w:val="21"/>
              </w:rPr>
              <w:t>5</w:t>
            </w:r>
          </w:p>
        </w:tc>
        <w:tc>
          <w:tcPr>
            <w:tcW w:w="1095" w:type="dxa"/>
            <w:tcBorders>
              <w:tl2br w:val="nil"/>
              <w:tr2bl w:val="nil"/>
            </w:tcBorders>
          </w:tcPr>
          <w:p w14:paraId="6AA93581">
            <w:pPr>
              <w:jc w:val="center"/>
              <w:rPr>
                <w:rFonts w:ascii="仿宋" w:hAnsi="仿宋" w:eastAsia="仿宋" w:cs="仿宋"/>
                <w:kern w:val="0"/>
                <w:szCs w:val="21"/>
              </w:rPr>
            </w:pPr>
            <w:r>
              <w:rPr>
                <w:rFonts w:hint="eastAsia" w:ascii="仿宋" w:hAnsi="仿宋" w:eastAsia="仿宋" w:cs="仿宋"/>
                <w:kern w:val="0"/>
                <w:szCs w:val="21"/>
              </w:rPr>
              <w:t>外购热力</w:t>
            </w:r>
          </w:p>
        </w:tc>
        <w:tc>
          <w:tcPr>
            <w:tcW w:w="1410" w:type="dxa"/>
            <w:tcBorders>
              <w:tl2br w:val="nil"/>
              <w:tr2bl w:val="nil"/>
            </w:tcBorders>
          </w:tcPr>
          <w:p w14:paraId="13970151">
            <w:pPr>
              <w:jc w:val="center"/>
              <w:rPr>
                <w:rFonts w:ascii="仿宋" w:hAnsi="仿宋" w:eastAsia="仿宋" w:cs="仿宋"/>
                <w:kern w:val="0"/>
                <w:szCs w:val="21"/>
              </w:rPr>
            </w:pPr>
            <w:r>
              <w:rPr>
                <w:rFonts w:hint="eastAsia" w:ascii="仿宋" w:hAnsi="仿宋" w:eastAsia="仿宋" w:cs="仿宋"/>
                <w:kern w:val="0"/>
                <w:szCs w:val="21"/>
              </w:rPr>
              <w:t>热力消费</w:t>
            </w:r>
          </w:p>
        </w:tc>
        <w:tc>
          <w:tcPr>
            <w:tcW w:w="1755" w:type="dxa"/>
            <w:tcBorders>
              <w:tl2br w:val="nil"/>
              <w:tr2bl w:val="nil"/>
            </w:tcBorders>
          </w:tcPr>
          <w:p w14:paraId="65AB5311">
            <w:pPr>
              <w:jc w:val="center"/>
              <w:rPr>
                <w:rFonts w:ascii="仿宋" w:hAnsi="仿宋" w:eastAsia="仿宋" w:cs="仿宋"/>
                <w:kern w:val="0"/>
                <w:szCs w:val="21"/>
              </w:rPr>
            </w:pPr>
            <w:r>
              <w:rPr>
                <w:rFonts w:hint="eastAsia" w:ascii="仿宋" w:hAnsi="仿宋" w:eastAsia="仿宋" w:cs="仿宋"/>
                <w:kern w:val="0"/>
                <w:szCs w:val="21"/>
              </w:rPr>
              <w:t>外购热力量</w:t>
            </w:r>
          </w:p>
        </w:tc>
        <w:tc>
          <w:tcPr>
            <w:tcW w:w="3577" w:type="dxa"/>
            <w:vMerge w:val="continue"/>
            <w:tcBorders>
              <w:tl2br w:val="nil"/>
              <w:tr2bl w:val="nil"/>
            </w:tcBorders>
          </w:tcPr>
          <w:p w14:paraId="177D0051">
            <w:pPr>
              <w:ind w:left="420" w:hanging="420"/>
              <w:jc w:val="left"/>
              <w:rPr>
                <w:rFonts w:ascii="仿宋" w:hAnsi="仿宋" w:eastAsia="仿宋" w:cs="仿宋"/>
                <w:kern w:val="0"/>
                <w:szCs w:val="21"/>
              </w:rPr>
            </w:pPr>
          </w:p>
        </w:tc>
      </w:tr>
      <w:tr w14:paraId="0456BF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84" w:type="dxa"/>
            <w:tcBorders>
              <w:tl2br w:val="nil"/>
              <w:tr2bl w:val="nil"/>
            </w:tcBorders>
          </w:tcPr>
          <w:p w14:paraId="08342817">
            <w:pPr>
              <w:jc w:val="center"/>
              <w:rPr>
                <w:rFonts w:ascii="仿宋" w:hAnsi="仿宋" w:eastAsia="仿宋" w:cs="仿宋"/>
                <w:kern w:val="0"/>
                <w:szCs w:val="21"/>
              </w:rPr>
            </w:pPr>
            <w:r>
              <w:rPr>
                <w:rFonts w:hint="eastAsia" w:ascii="仿宋" w:hAnsi="仿宋" w:eastAsia="仿宋" w:cs="仿宋"/>
                <w:kern w:val="0"/>
                <w:szCs w:val="21"/>
              </w:rPr>
              <w:t>6</w:t>
            </w:r>
          </w:p>
        </w:tc>
        <w:tc>
          <w:tcPr>
            <w:tcW w:w="1095" w:type="dxa"/>
            <w:tcBorders>
              <w:tl2br w:val="nil"/>
              <w:tr2bl w:val="nil"/>
            </w:tcBorders>
          </w:tcPr>
          <w:p w14:paraId="75B30D64">
            <w:pPr>
              <w:jc w:val="center"/>
              <w:rPr>
                <w:rFonts w:ascii="仿宋" w:hAnsi="仿宋" w:eastAsia="仿宋" w:cs="仿宋"/>
                <w:kern w:val="0"/>
                <w:szCs w:val="21"/>
              </w:rPr>
            </w:pPr>
            <w:r>
              <w:rPr>
                <w:rFonts w:hint="eastAsia" w:ascii="仿宋" w:hAnsi="仿宋" w:eastAsia="仿宋" w:cs="仿宋"/>
                <w:kern w:val="0"/>
                <w:szCs w:val="21"/>
              </w:rPr>
              <w:t>外购水</w:t>
            </w:r>
          </w:p>
        </w:tc>
        <w:tc>
          <w:tcPr>
            <w:tcW w:w="1410" w:type="dxa"/>
            <w:tcBorders>
              <w:tl2br w:val="nil"/>
              <w:tr2bl w:val="nil"/>
            </w:tcBorders>
          </w:tcPr>
          <w:p w14:paraId="63F2A01D">
            <w:pPr>
              <w:jc w:val="center"/>
              <w:rPr>
                <w:rFonts w:ascii="仿宋" w:hAnsi="仿宋" w:eastAsia="仿宋" w:cs="仿宋"/>
                <w:kern w:val="0"/>
                <w:szCs w:val="21"/>
              </w:rPr>
            </w:pPr>
            <w:r>
              <w:rPr>
                <w:rFonts w:hint="eastAsia" w:ascii="仿宋" w:hAnsi="仿宋" w:eastAsia="仿宋" w:cs="仿宋"/>
                <w:kern w:val="0"/>
                <w:szCs w:val="21"/>
              </w:rPr>
              <w:t>购水消费</w:t>
            </w:r>
          </w:p>
        </w:tc>
        <w:tc>
          <w:tcPr>
            <w:tcW w:w="1755" w:type="dxa"/>
            <w:tcBorders>
              <w:tl2br w:val="nil"/>
              <w:tr2bl w:val="nil"/>
            </w:tcBorders>
          </w:tcPr>
          <w:p w14:paraId="761EA298">
            <w:pPr>
              <w:jc w:val="center"/>
              <w:rPr>
                <w:rFonts w:ascii="仿宋" w:hAnsi="仿宋" w:eastAsia="仿宋" w:cs="仿宋"/>
                <w:kern w:val="0"/>
                <w:szCs w:val="21"/>
              </w:rPr>
            </w:pPr>
            <w:r>
              <w:rPr>
                <w:rFonts w:hint="eastAsia" w:ascii="仿宋" w:hAnsi="仿宋" w:eastAsia="仿宋" w:cs="仿宋"/>
                <w:kern w:val="0"/>
                <w:szCs w:val="21"/>
              </w:rPr>
              <w:t>外购水量</w:t>
            </w:r>
          </w:p>
        </w:tc>
        <w:tc>
          <w:tcPr>
            <w:tcW w:w="3577" w:type="dxa"/>
            <w:vMerge w:val="continue"/>
            <w:tcBorders>
              <w:tl2br w:val="nil"/>
              <w:tr2bl w:val="nil"/>
            </w:tcBorders>
          </w:tcPr>
          <w:p w14:paraId="117A11D8">
            <w:pPr>
              <w:ind w:left="420" w:hanging="420"/>
              <w:jc w:val="left"/>
              <w:rPr>
                <w:rFonts w:ascii="仿宋" w:hAnsi="仿宋" w:eastAsia="仿宋" w:cs="仿宋"/>
                <w:kern w:val="0"/>
                <w:szCs w:val="21"/>
              </w:rPr>
            </w:pPr>
          </w:p>
        </w:tc>
      </w:tr>
      <w:tr w14:paraId="7A0CC2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84" w:type="dxa"/>
            <w:tcBorders>
              <w:tl2br w:val="nil"/>
              <w:tr2bl w:val="nil"/>
            </w:tcBorders>
          </w:tcPr>
          <w:p w14:paraId="06B2DAF5">
            <w:pPr>
              <w:jc w:val="center"/>
              <w:rPr>
                <w:rFonts w:ascii="仿宋" w:hAnsi="仿宋" w:eastAsia="仿宋" w:cs="仿宋"/>
                <w:kern w:val="0"/>
                <w:szCs w:val="21"/>
              </w:rPr>
            </w:pPr>
            <w:r>
              <w:rPr>
                <w:rFonts w:hint="eastAsia" w:ascii="仿宋" w:hAnsi="仿宋" w:eastAsia="仿宋" w:cs="仿宋"/>
                <w:kern w:val="0"/>
                <w:szCs w:val="21"/>
              </w:rPr>
              <w:t>7</w:t>
            </w:r>
          </w:p>
        </w:tc>
        <w:tc>
          <w:tcPr>
            <w:tcW w:w="1095" w:type="dxa"/>
            <w:tcBorders>
              <w:tl2br w:val="nil"/>
              <w:tr2bl w:val="nil"/>
            </w:tcBorders>
          </w:tcPr>
          <w:p w14:paraId="6D226010">
            <w:pPr>
              <w:jc w:val="center"/>
              <w:rPr>
                <w:rFonts w:ascii="仿宋" w:hAnsi="仿宋" w:eastAsia="仿宋" w:cs="仿宋"/>
                <w:kern w:val="0"/>
                <w:szCs w:val="21"/>
              </w:rPr>
            </w:pPr>
            <w:r>
              <w:rPr>
                <w:rFonts w:hint="eastAsia" w:ascii="仿宋" w:hAnsi="仿宋" w:eastAsia="仿宋" w:cs="仿宋"/>
                <w:kern w:val="0"/>
                <w:szCs w:val="21"/>
              </w:rPr>
              <w:t>外购原料</w:t>
            </w:r>
          </w:p>
        </w:tc>
        <w:tc>
          <w:tcPr>
            <w:tcW w:w="1410" w:type="dxa"/>
            <w:tcBorders>
              <w:tl2br w:val="nil"/>
              <w:tr2bl w:val="nil"/>
            </w:tcBorders>
          </w:tcPr>
          <w:p w14:paraId="0E1EF6E9">
            <w:pPr>
              <w:jc w:val="center"/>
              <w:rPr>
                <w:rFonts w:ascii="仿宋" w:hAnsi="仿宋" w:eastAsia="仿宋" w:cs="仿宋"/>
                <w:kern w:val="0"/>
                <w:szCs w:val="21"/>
              </w:rPr>
            </w:pPr>
            <w:r>
              <w:rPr>
                <w:rFonts w:hint="eastAsia" w:ascii="仿宋" w:hAnsi="仿宋" w:eastAsia="仿宋" w:cs="仿宋"/>
                <w:kern w:val="0"/>
                <w:szCs w:val="21"/>
              </w:rPr>
              <w:t>外购原料与燃料的开采和生产产生的碳排放</w:t>
            </w:r>
          </w:p>
        </w:tc>
        <w:tc>
          <w:tcPr>
            <w:tcW w:w="1755" w:type="dxa"/>
            <w:tcBorders>
              <w:tl2br w:val="nil"/>
              <w:tr2bl w:val="nil"/>
            </w:tcBorders>
          </w:tcPr>
          <w:p w14:paraId="1BAE23A2">
            <w:pPr>
              <w:jc w:val="center"/>
              <w:rPr>
                <w:rFonts w:ascii="仿宋" w:hAnsi="仿宋" w:eastAsia="仿宋" w:cs="仿宋"/>
                <w:kern w:val="0"/>
                <w:szCs w:val="21"/>
              </w:rPr>
            </w:pPr>
            <w:r>
              <w:rPr>
                <w:rFonts w:hint="eastAsia" w:ascii="仿宋" w:hAnsi="仿宋" w:eastAsia="仿宋" w:cs="仿宋"/>
                <w:kern w:val="0"/>
                <w:szCs w:val="21"/>
              </w:rPr>
              <w:t>外购原料与燃料的开采和生产量</w:t>
            </w:r>
          </w:p>
        </w:tc>
        <w:tc>
          <w:tcPr>
            <w:tcW w:w="3577" w:type="dxa"/>
            <w:tcBorders>
              <w:tl2br w:val="nil"/>
              <w:tr2bl w:val="nil"/>
            </w:tcBorders>
          </w:tcPr>
          <w:p w14:paraId="5B789B16">
            <w:pPr>
              <w:numPr>
                <w:ilvl w:val="0"/>
                <w:numId w:val="5"/>
              </w:numPr>
              <w:jc w:val="left"/>
              <w:rPr>
                <w:rFonts w:ascii="仿宋" w:hAnsi="仿宋" w:eastAsia="仿宋" w:cs="仿宋"/>
                <w:kern w:val="0"/>
                <w:szCs w:val="21"/>
              </w:rPr>
            </w:pPr>
            <w:r>
              <w:rPr>
                <w:rFonts w:hint="eastAsia" w:ascii="仿宋" w:hAnsi="仿宋" w:eastAsia="仿宋" w:cs="仿宋"/>
                <w:kern w:val="0"/>
                <w:szCs w:val="21"/>
              </w:rPr>
              <w:t>采购部门相关产品供货单、购货发票、缴费凭证；</w:t>
            </w:r>
          </w:p>
          <w:p w14:paraId="7818AD30">
            <w:pPr>
              <w:numPr>
                <w:ilvl w:val="0"/>
                <w:numId w:val="5"/>
              </w:numPr>
              <w:jc w:val="left"/>
              <w:rPr>
                <w:rFonts w:ascii="仿宋" w:hAnsi="仿宋" w:eastAsia="仿宋" w:cs="仿宋"/>
                <w:kern w:val="0"/>
                <w:szCs w:val="21"/>
              </w:rPr>
            </w:pPr>
            <w:r>
              <w:rPr>
                <w:rFonts w:hint="eastAsia" w:ascii="仿宋" w:hAnsi="仿宋" w:eastAsia="仿宋" w:cs="仿宋"/>
                <w:kern w:val="0"/>
                <w:szCs w:val="21"/>
              </w:rPr>
              <w:t>财务部门财务成本报表，涉及相关产品等部分；</w:t>
            </w:r>
          </w:p>
          <w:p w14:paraId="7D8DB7D0">
            <w:pPr>
              <w:numPr>
                <w:ilvl w:val="0"/>
                <w:numId w:val="5"/>
              </w:numPr>
              <w:jc w:val="left"/>
              <w:rPr>
                <w:rFonts w:ascii="仿宋" w:hAnsi="仿宋" w:eastAsia="仿宋" w:cs="仿宋"/>
                <w:kern w:val="0"/>
                <w:szCs w:val="21"/>
              </w:rPr>
            </w:pPr>
            <w:r>
              <w:rPr>
                <w:rFonts w:hint="eastAsia" w:ascii="仿宋" w:hAnsi="仿宋" w:eastAsia="仿宋" w:cs="仿宋"/>
                <w:kern w:val="0"/>
                <w:szCs w:val="21"/>
              </w:rPr>
              <w:t>涉及相关部门工作记录台帐；</w:t>
            </w:r>
          </w:p>
        </w:tc>
      </w:tr>
      <w:tr w14:paraId="268EAD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84" w:type="dxa"/>
            <w:tcBorders>
              <w:tl2br w:val="nil"/>
              <w:tr2bl w:val="nil"/>
            </w:tcBorders>
          </w:tcPr>
          <w:p w14:paraId="23D944D2">
            <w:pPr>
              <w:jc w:val="center"/>
              <w:rPr>
                <w:rFonts w:ascii="仿宋" w:hAnsi="仿宋" w:eastAsia="仿宋" w:cs="仿宋"/>
                <w:kern w:val="0"/>
                <w:szCs w:val="21"/>
              </w:rPr>
            </w:pPr>
            <w:r>
              <w:rPr>
                <w:rFonts w:hint="eastAsia" w:ascii="仿宋" w:hAnsi="仿宋" w:eastAsia="仿宋" w:cs="仿宋"/>
                <w:kern w:val="0"/>
                <w:szCs w:val="21"/>
              </w:rPr>
              <w:t>8</w:t>
            </w:r>
          </w:p>
        </w:tc>
        <w:tc>
          <w:tcPr>
            <w:tcW w:w="1095" w:type="dxa"/>
            <w:tcBorders>
              <w:tl2br w:val="nil"/>
              <w:tr2bl w:val="nil"/>
            </w:tcBorders>
          </w:tcPr>
          <w:p w14:paraId="3E3EB274">
            <w:pPr>
              <w:jc w:val="center"/>
              <w:rPr>
                <w:rFonts w:ascii="仿宋" w:hAnsi="仿宋" w:eastAsia="仿宋" w:cs="仿宋"/>
                <w:kern w:val="0"/>
                <w:szCs w:val="21"/>
              </w:rPr>
            </w:pPr>
            <w:r>
              <w:rPr>
                <w:rFonts w:hint="eastAsia" w:ascii="仿宋" w:hAnsi="仿宋" w:eastAsia="仿宋" w:cs="仿宋"/>
                <w:kern w:val="0"/>
                <w:szCs w:val="21"/>
              </w:rPr>
              <w:t>相关运输活动</w:t>
            </w:r>
          </w:p>
        </w:tc>
        <w:tc>
          <w:tcPr>
            <w:tcW w:w="1410" w:type="dxa"/>
            <w:tcBorders>
              <w:tl2br w:val="nil"/>
              <w:tr2bl w:val="nil"/>
            </w:tcBorders>
          </w:tcPr>
          <w:p w14:paraId="55D3E75F">
            <w:pPr>
              <w:pStyle w:val="12"/>
              <w:snapToGrid w:val="0"/>
              <w:spacing w:line="240" w:lineRule="auto"/>
              <w:ind w:firstLine="0" w:firstLineChars="0"/>
              <w:jc w:val="center"/>
              <w:rPr>
                <w:rFonts w:ascii="仿宋" w:hAnsi="仿宋" w:eastAsia="仿宋" w:cs="仿宋"/>
                <w:kern w:val="0"/>
                <w:szCs w:val="21"/>
              </w:rPr>
            </w:pPr>
            <w:r>
              <w:rPr>
                <w:rFonts w:hint="eastAsia" w:ascii="仿宋" w:hAnsi="仿宋" w:eastAsia="仿宋" w:cs="仿宋"/>
                <w:kern w:val="0"/>
                <w:szCs w:val="21"/>
              </w:rPr>
              <w:t>运输外购的原料或商品;运输外购的燃料</w:t>
            </w:r>
          </w:p>
        </w:tc>
        <w:tc>
          <w:tcPr>
            <w:tcW w:w="1755" w:type="dxa"/>
            <w:tcBorders>
              <w:tl2br w:val="nil"/>
              <w:tr2bl w:val="nil"/>
            </w:tcBorders>
          </w:tcPr>
          <w:p w14:paraId="0AD6B762">
            <w:pPr>
              <w:jc w:val="center"/>
              <w:rPr>
                <w:rFonts w:ascii="仿宋" w:hAnsi="仿宋" w:eastAsia="仿宋" w:cs="仿宋"/>
                <w:kern w:val="0"/>
                <w:szCs w:val="21"/>
              </w:rPr>
            </w:pPr>
            <w:r>
              <w:rPr>
                <w:rFonts w:hint="eastAsia" w:ascii="仿宋" w:hAnsi="仿宋" w:eastAsia="仿宋" w:cs="仿宋"/>
                <w:kern w:val="0"/>
                <w:szCs w:val="21"/>
              </w:rPr>
              <w:t>油、气等燃料消耗量</w:t>
            </w:r>
          </w:p>
        </w:tc>
        <w:tc>
          <w:tcPr>
            <w:tcW w:w="3577" w:type="dxa"/>
            <w:tcBorders>
              <w:tl2br w:val="nil"/>
              <w:tr2bl w:val="nil"/>
            </w:tcBorders>
          </w:tcPr>
          <w:p w14:paraId="7B3200F1">
            <w:pPr>
              <w:numPr>
                <w:ilvl w:val="0"/>
                <w:numId w:val="5"/>
              </w:numPr>
              <w:jc w:val="left"/>
              <w:rPr>
                <w:rFonts w:ascii="仿宋" w:hAnsi="仿宋" w:eastAsia="仿宋" w:cs="仿宋"/>
                <w:kern w:val="0"/>
                <w:szCs w:val="21"/>
              </w:rPr>
            </w:pPr>
            <w:r>
              <w:rPr>
                <w:rFonts w:hint="eastAsia" w:ascii="仿宋" w:hAnsi="仿宋" w:eastAsia="仿宋" w:cs="仿宋"/>
                <w:kern w:val="0"/>
                <w:szCs w:val="21"/>
              </w:rPr>
              <w:t>采购部门车辆供货单、购货发票、缴费凭证；</w:t>
            </w:r>
          </w:p>
          <w:p w14:paraId="7B47584F">
            <w:pPr>
              <w:numPr>
                <w:ilvl w:val="0"/>
                <w:numId w:val="5"/>
              </w:numPr>
              <w:jc w:val="left"/>
              <w:rPr>
                <w:rFonts w:ascii="仿宋" w:hAnsi="仿宋" w:eastAsia="仿宋" w:cs="仿宋"/>
                <w:kern w:val="0"/>
                <w:szCs w:val="21"/>
              </w:rPr>
            </w:pPr>
            <w:r>
              <w:rPr>
                <w:rFonts w:hint="eastAsia" w:ascii="仿宋" w:hAnsi="仿宋" w:eastAsia="仿宋" w:cs="仿宋"/>
                <w:kern w:val="0"/>
                <w:szCs w:val="21"/>
              </w:rPr>
              <w:t>财务部门财务成本报表，涉及运输帐等部分；</w:t>
            </w:r>
          </w:p>
        </w:tc>
      </w:tr>
      <w:tr w14:paraId="035D87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684" w:type="dxa"/>
            <w:tcBorders>
              <w:tl2br w:val="nil"/>
              <w:tr2bl w:val="nil"/>
            </w:tcBorders>
          </w:tcPr>
          <w:p w14:paraId="29CC0BCC">
            <w:pPr>
              <w:jc w:val="center"/>
              <w:rPr>
                <w:rFonts w:ascii="仿宋" w:hAnsi="仿宋" w:eastAsia="仿宋" w:cs="仿宋"/>
                <w:kern w:val="0"/>
                <w:szCs w:val="21"/>
              </w:rPr>
            </w:pPr>
            <w:r>
              <w:rPr>
                <w:rFonts w:hint="eastAsia" w:ascii="仿宋" w:hAnsi="仿宋" w:eastAsia="仿宋" w:cs="仿宋"/>
                <w:kern w:val="0"/>
                <w:szCs w:val="21"/>
              </w:rPr>
              <w:t>9</w:t>
            </w:r>
          </w:p>
        </w:tc>
        <w:tc>
          <w:tcPr>
            <w:tcW w:w="1095" w:type="dxa"/>
            <w:tcBorders>
              <w:tl2br w:val="nil"/>
              <w:tr2bl w:val="nil"/>
            </w:tcBorders>
          </w:tcPr>
          <w:p w14:paraId="5CBC0F4D">
            <w:pPr>
              <w:jc w:val="center"/>
              <w:rPr>
                <w:rFonts w:ascii="仿宋" w:hAnsi="仿宋" w:eastAsia="仿宋" w:cs="仿宋"/>
                <w:kern w:val="0"/>
                <w:szCs w:val="21"/>
              </w:rPr>
            </w:pPr>
            <w:r>
              <w:rPr>
                <w:rFonts w:hint="eastAsia" w:ascii="仿宋" w:hAnsi="仿宋" w:eastAsia="仿宋" w:cs="仿宋"/>
                <w:kern w:val="0"/>
                <w:szCs w:val="21"/>
              </w:rPr>
              <w:t>废弃物处理</w:t>
            </w:r>
          </w:p>
        </w:tc>
        <w:tc>
          <w:tcPr>
            <w:tcW w:w="1410" w:type="dxa"/>
            <w:tcBorders>
              <w:tl2br w:val="nil"/>
              <w:tr2bl w:val="nil"/>
            </w:tcBorders>
          </w:tcPr>
          <w:p w14:paraId="18C5C1EE">
            <w:pPr>
              <w:pStyle w:val="12"/>
              <w:snapToGrid w:val="0"/>
              <w:spacing w:line="240" w:lineRule="auto"/>
              <w:ind w:firstLine="0" w:firstLineChars="0"/>
              <w:jc w:val="center"/>
              <w:rPr>
                <w:rFonts w:ascii="仿宋" w:hAnsi="仿宋" w:eastAsia="仿宋" w:cs="仿宋"/>
                <w:kern w:val="0"/>
                <w:szCs w:val="21"/>
              </w:rPr>
            </w:pPr>
            <w:r>
              <w:rPr>
                <w:rFonts w:hint="eastAsia" w:ascii="仿宋" w:hAnsi="仿宋" w:eastAsia="仿宋" w:cs="仿宋"/>
                <w:kern w:val="0"/>
                <w:szCs w:val="21"/>
              </w:rPr>
              <w:t>处理外购原料和燃料生产时产生的废弃物</w:t>
            </w:r>
          </w:p>
        </w:tc>
        <w:tc>
          <w:tcPr>
            <w:tcW w:w="1755" w:type="dxa"/>
            <w:tcBorders>
              <w:tl2br w:val="nil"/>
              <w:tr2bl w:val="nil"/>
            </w:tcBorders>
          </w:tcPr>
          <w:p w14:paraId="57F2E8F9">
            <w:pPr>
              <w:jc w:val="center"/>
              <w:rPr>
                <w:rFonts w:ascii="仿宋" w:hAnsi="仿宋" w:eastAsia="仿宋" w:cs="仿宋"/>
                <w:kern w:val="0"/>
                <w:szCs w:val="21"/>
              </w:rPr>
            </w:pPr>
            <w:r>
              <w:rPr>
                <w:rFonts w:hint="eastAsia" w:ascii="仿宋" w:hAnsi="仿宋" w:eastAsia="仿宋" w:cs="仿宋"/>
                <w:kern w:val="0"/>
                <w:szCs w:val="21"/>
              </w:rPr>
              <w:t>废弃物量</w:t>
            </w:r>
          </w:p>
        </w:tc>
        <w:tc>
          <w:tcPr>
            <w:tcW w:w="3577" w:type="dxa"/>
            <w:tcBorders>
              <w:tl2br w:val="nil"/>
              <w:tr2bl w:val="nil"/>
            </w:tcBorders>
          </w:tcPr>
          <w:p w14:paraId="4BCD95E6">
            <w:pPr>
              <w:numPr>
                <w:ilvl w:val="0"/>
                <w:numId w:val="5"/>
              </w:numPr>
              <w:jc w:val="left"/>
              <w:rPr>
                <w:rFonts w:ascii="仿宋" w:hAnsi="仿宋" w:eastAsia="仿宋" w:cs="仿宋"/>
                <w:kern w:val="0"/>
                <w:szCs w:val="21"/>
              </w:rPr>
            </w:pPr>
            <w:r>
              <w:rPr>
                <w:rFonts w:hint="eastAsia" w:ascii="仿宋" w:hAnsi="仿宋" w:eastAsia="仿宋" w:cs="仿宋"/>
                <w:kern w:val="0"/>
                <w:szCs w:val="21"/>
              </w:rPr>
              <w:t>采购部门废弃物处理供货单、购货发票、缴费凭证；</w:t>
            </w:r>
          </w:p>
          <w:p w14:paraId="67DD4D42">
            <w:pPr>
              <w:numPr>
                <w:ilvl w:val="0"/>
                <w:numId w:val="5"/>
              </w:numPr>
              <w:jc w:val="left"/>
              <w:rPr>
                <w:rFonts w:ascii="仿宋" w:hAnsi="仿宋" w:eastAsia="仿宋" w:cs="仿宋"/>
                <w:kern w:val="0"/>
                <w:szCs w:val="21"/>
              </w:rPr>
            </w:pPr>
            <w:r>
              <w:rPr>
                <w:rFonts w:hint="eastAsia" w:ascii="仿宋" w:hAnsi="仿宋" w:eastAsia="仿宋" w:cs="仿宋"/>
                <w:kern w:val="0"/>
                <w:szCs w:val="21"/>
              </w:rPr>
              <w:t>财务部门财务成本报表，涉及废弃物处理等部分；</w:t>
            </w:r>
          </w:p>
        </w:tc>
      </w:tr>
    </w:tbl>
    <w:p w14:paraId="6A9E324A">
      <w:pPr>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确定收集碳排放核算所需活动水平数据，优先选择准确度更高的数据来源方式。典型活动水平数据来源的优先等级获取方式可参照表3 碳排放活动水平数据优先级。</w:t>
      </w:r>
    </w:p>
    <w:p w14:paraId="4543B9FE">
      <w:pPr>
        <w:spacing w:line="360" w:lineRule="auto"/>
        <w:jc w:val="center"/>
        <w:rPr>
          <w:rFonts w:ascii="仿宋" w:hAnsi="仿宋" w:eastAsia="仿宋" w:cs="仿宋"/>
          <w:kern w:val="0"/>
          <w:szCs w:val="21"/>
        </w:rPr>
      </w:pPr>
      <w:r>
        <w:rPr>
          <w:rFonts w:hint="eastAsia" w:ascii="仿宋" w:hAnsi="仿宋" w:eastAsia="仿宋" w:cs="仿宋"/>
          <w:kern w:val="0"/>
          <w:szCs w:val="21"/>
        </w:rPr>
        <w:t>表3 企业碳排放活动水平数据优先级</w:t>
      </w:r>
    </w:p>
    <w:tbl>
      <w:tblPr>
        <w:tblStyle w:val="24"/>
        <w:tblW w:w="0" w:type="auto"/>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45"/>
        <w:gridCol w:w="5987"/>
        <w:gridCol w:w="1084"/>
      </w:tblGrid>
      <w:tr w14:paraId="0532B62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1445" w:type="dxa"/>
            <w:tcBorders>
              <w:bottom w:val="single" w:color="000000" w:sz="4" w:space="0"/>
            </w:tcBorders>
            <w:vAlign w:val="center"/>
          </w:tcPr>
          <w:p w14:paraId="4920315D">
            <w:pPr>
              <w:jc w:val="cente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来源</w:t>
            </w:r>
          </w:p>
        </w:tc>
        <w:tc>
          <w:tcPr>
            <w:tcW w:w="5987" w:type="dxa"/>
            <w:tcBorders>
              <w:bottom w:val="single" w:color="000000" w:sz="4" w:space="0"/>
            </w:tcBorders>
            <w:vAlign w:val="center"/>
          </w:tcPr>
          <w:p w14:paraId="2B40EC62">
            <w:pPr>
              <w:jc w:val="cente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解释</w:t>
            </w:r>
          </w:p>
        </w:tc>
        <w:tc>
          <w:tcPr>
            <w:tcW w:w="1084" w:type="dxa"/>
            <w:tcBorders>
              <w:bottom w:val="single" w:color="000000" w:sz="4" w:space="0"/>
            </w:tcBorders>
            <w:vAlign w:val="center"/>
          </w:tcPr>
          <w:p w14:paraId="3D980271">
            <w:pPr>
              <w:jc w:val="cente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优先级</w:t>
            </w:r>
          </w:p>
        </w:tc>
      </w:tr>
      <w:tr w14:paraId="6172F2A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1445" w:type="dxa"/>
            <w:tcBorders>
              <w:top w:val="single" w:color="000000" w:sz="4" w:space="0"/>
              <w:tl2br w:val="nil"/>
              <w:tr2bl w:val="nil"/>
            </w:tcBorders>
            <w:vAlign w:val="center"/>
          </w:tcPr>
          <w:p w14:paraId="4BBE08BF">
            <w:pPr>
              <w:rPr>
                <w:rFonts w:ascii="仿宋" w:hAnsi="仿宋" w:eastAsia="仿宋" w:cs="仿宋"/>
                <w:kern w:val="0"/>
                <w:szCs w:val="21"/>
              </w:rPr>
            </w:pPr>
            <w:r>
              <w:rPr>
                <w:rFonts w:hint="eastAsia" w:ascii="仿宋" w:hAnsi="仿宋" w:eastAsia="仿宋" w:cs="仿宋"/>
                <w:kern w:val="0"/>
                <w:szCs w:val="21"/>
              </w:rPr>
              <w:t>实际测量值</w:t>
            </w:r>
          </w:p>
        </w:tc>
        <w:tc>
          <w:tcPr>
            <w:tcW w:w="5987" w:type="dxa"/>
            <w:tcBorders>
              <w:top w:val="single" w:color="000000" w:sz="4" w:space="0"/>
              <w:tl2br w:val="nil"/>
              <w:tr2bl w:val="nil"/>
            </w:tcBorders>
            <w:vAlign w:val="center"/>
          </w:tcPr>
          <w:p w14:paraId="36C667E1">
            <w:pPr>
              <w:rPr>
                <w:rFonts w:ascii="仿宋" w:hAnsi="仿宋" w:eastAsia="仿宋" w:cs="仿宋"/>
                <w:kern w:val="0"/>
                <w:szCs w:val="21"/>
              </w:rPr>
            </w:pPr>
            <w:r>
              <w:rPr>
                <w:rFonts w:hint="eastAsia" w:ascii="仿宋" w:hAnsi="仿宋" w:eastAsia="仿宋" w:cs="仿宋"/>
                <w:kern w:val="0"/>
                <w:szCs w:val="21"/>
              </w:rPr>
              <w:t>使用计量器具（衡器、流量计等）实测，记录整理形成台账</w:t>
            </w:r>
          </w:p>
        </w:tc>
        <w:tc>
          <w:tcPr>
            <w:tcW w:w="1084" w:type="dxa"/>
            <w:tcBorders>
              <w:top w:val="single" w:color="000000" w:sz="4" w:space="0"/>
              <w:tl2br w:val="nil"/>
              <w:tr2bl w:val="nil"/>
            </w:tcBorders>
            <w:vAlign w:val="center"/>
          </w:tcPr>
          <w:p w14:paraId="7BFC8D9A">
            <w:pPr>
              <w:rPr>
                <w:rFonts w:ascii="仿宋" w:hAnsi="仿宋" w:eastAsia="仿宋" w:cs="仿宋"/>
                <w:kern w:val="0"/>
                <w:szCs w:val="21"/>
              </w:rPr>
            </w:pPr>
            <w:r>
              <w:rPr>
                <w:rFonts w:hint="eastAsia" w:ascii="仿宋" w:hAnsi="仿宋" w:eastAsia="仿宋" w:cs="仿宋"/>
                <w:kern w:val="0"/>
                <w:szCs w:val="21"/>
              </w:rPr>
              <w:t>高</w:t>
            </w:r>
          </w:p>
        </w:tc>
      </w:tr>
      <w:tr w14:paraId="2558F68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1445" w:type="dxa"/>
            <w:tcBorders>
              <w:tl2br w:val="nil"/>
              <w:tr2bl w:val="nil"/>
            </w:tcBorders>
            <w:vAlign w:val="center"/>
          </w:tcPr>
          <w:p w14:paraId="5CA11893">
            <w:pPr>
              <w:rPr>
                <w:rFonts w:ascii="仿宋" w:hAnsi="仿宋" w:eastAsia="仿宋" w:cs="仿宋"/>
                <w:kern w:val="0"/>
                <w:szCs w:val="21"/>
              </w:rPr>
            </w:pPr>
            <w:r>
              <w:rPr>
                <w:rFonts w:hint="eastAsia" w:ascii="仿宋" w:hAnsi="仿宋" w:eastAsia="仿宋" w:cs="仿宋"/>
                <w:kern w:val="0"/>
                <w:szCs w:val="21"/>
              </w:rPr>
              <w:t>参考值</w:t>
            </w:r>
          </w:p>
        </w:tc>
        <w:tc>
          <w:tcPr>
            <w:tcW w:w="5987" w:type="dxa"/>
            <w:tcBorders>
              <w:tl2br w:val="nil"/>
              <w:tr2bl w:val="nil"/>
            </w:tcBorders>
            <w:vAlign w:val="center"/>
          </w:tcPr>
          <w:p w14:paraId="710528D9">
            <w:pPr>
              <w:rPr>
                <w:rFonts w:ascii="仿宋" w:hAnsi="仿宋" w:eastAsia="仿宋" w:cs="仿宋"/>
                <w:kern w:val="0"/>
                <w:szCs w:val="21"/>
              </w:rPr>
            </w:pPr>
            <w:r>
              <w:rPr>
                <w:rFonts w:hint="eastAsia" w:ascii="仿宋" w:hAnsi="仿宋" w:eastAsia="仿宋" w:cs="仿宋"/>
                <w:kern w:val="0"/>
                <w:szCs w:val="21"/>
              </w:rPr>
              <w:t>核算依据中提供的缺省值，例如低位发热量</w:t>
            </w:r>
          </w:p>
        </w:tc>
        <w:tc>
          <w:tcPr>
            <w:tcW w:w="1084" w:type="dxa"/>
            <w:tcBorders>
              <w:tl2br w:val="nil"/>
              <w:tr2bl w:val="nil"/>
            </w:tcBorders>
            <w:vAlign w:val="center"/>
          </w:tcPr>
          <w:p w14:paraId="068C05A9">
            <w:pPr>
              <w:rPr>
                <w:rFonts w:ascii="仿宋" w:hAnsi="仿宋" w:eastAsia="仿宋" w:cs="仿宋"/>
                <w:kern w:val="0"/>
                <w:szCs w:val="21"/>
              </w:rPr>
            </w:pPr>
            <w:r>
              <w:rPr>
                <w:rFonts w:hint="eastAsia" w:ascii="仿宋" w:hAnsi="仿宋" w:eastAsia="仿宋" w:cs="仿宋"/>
                <w:kern w:val="0"/>
                <w:szCs w:val="21"/>
              </w:rPr>
              <w:t>中</w:t>
            </w:r>
          </w:p>
        </w:tc>
      </w:tr>
      <w:tr w14:paraId="6866FBA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1445" w:type="dxa"/>
            <w:tcBorders>
              <w:tl2br w:val="nil"/>
              <w:tr2bl w:val="nil"/>
            </w:tcBorders>
            <w:vAlign w:val="center"/>
          </w:tcPr>
          <w:p w14:paraId="29BB358B">
            <w:pPr>
              <w:rPr>
                <w:rFonts w:ascii="仿宋" w:hAnsi="仿宋" w:eastAsia="仿宋" w:cs="仿宋"/>
                <w:kern w:val="0"/>
                <w:szCs w:val="21"/>
              </w:rPr>
            </w:pPr>
            <w:r>
              <w:rPr>
                <w:rFonts w:hint="eastAsia" w:ascii="仿宋" w:hAnsi="仿宋" w:eastAsia="仿宋" w:cs="仿宋"/>
                <w:kern w:val="0"/>
                <w:szCs w:val="21"/>
              </w:rPr>
              <w:t>次级数据</w:t>
            </w:r>
          </w:p>
        </w:tc>
        <w:tc>
          <w:tcPr>
            <w:tcW w:w="5987" w:type="dxa"/>
            <w:tcBorders>
              <w:tl2br w:val="nil"/>
              <w:tr2bl w:val="nil"/>
            </w:tcBorders>
            <w:vAlign w:val="center"/>
          </w:tcPr>
          <w:p w14:paraId="0B3FCCD0">
            <w:pPr>
              <w:rPr>
                <w:rFonts w:ascii="仿宋" w:hAnsi="仿宋" w:eastAsia="仿宋" w:cs="仿宋"/>
                <w:kern w:val="0"/>
                <w:szCs w:val="21"/>
              </w:rPr>
            </w:pPr>
            <w:r>
              <w:rPr>
                <w:rFonts w:hint="eastAsia" w:ascii="仿宋" w:hAnsi="仿宋" w:eastAsia="仿宋" w:cs="仿宋"/>
                <w:kern w:val="0"/>
                <w:szCs w:val="21"/>
              </w:rPr>
              <w:t>使用估算值或经验数据，需要提供合理性说明</w:t>
            </w:r>
          </w:p>
        </w:tc>
        <w:tc>
          <w:tcPr>
            <w:tcW w:w="1084" w:type="dxa"/>
            <w:tcBorders>
              <w:tl2br w:val="nil"/>
              <w:tr2bl w:val="nil"/>
            </w:tcBorders>
            <w:vAlign w:val="center"/>
          </w:tcPr>
          <w:p w14:paraId="33FF3A83">
            <w:pPr>
              <w:rPr>
                <w:rFonts w:ascii="仿宋" w:hAnsi="仿宋" w:eastAsia="仿宋" w:cs="仿宋"/>
                <w:kern w:val="0"/>
                <w:szCs w:val="21"/>
              </w:rPr>
            </w:pPr>
            <w:r>
              <w:rPr>
                <w:rFonts w:hint="eastAsia" w:ascii="仿宋" w:hAnsi="仿宋" w:eastAsia="仿宋" w:cs="仿宋"/>
                <w:kern w:val="0"/>
                <w:szCs w:val="21"/>
              </w:rPr>
              <w:t>低</w:t>
            </w:r>
          </w:p>
        </w:tc>
      </w:tr>
    </w:tbl>
    <w:p w14:paraId="21B6CD59">
      <w:pPr>
        <w:pStyle w:val="4"/>
        <w:keepNext w:val="0"/>
        <w:keepLines w:val="0"/>
        <w:widowControl/>
        <w:spacing w:before="0" w:after="0" w:line="400" w:lineRule="exact"/>
        <w:jc w:val="left"/>
        <w:rPr>
          <w:rFonts w:ascii="宋体" w:hAnsi="宋体" w:eastAsia="宋体" w:cs="宋体"/>
          <w:b/>
          <w:bCs/>
          <w:color w:val="auto"/>
          <w:sz w:val="21"/>
          <w:szCs w:val="21"/>
        </w:rPr>
      </w:pPr>
      <w:bookmarkStart w:id="33" w:name="_Toc12434"/>
      <w:bookmarkStart w:id="34" w:name="_Toc29085"/>
      <w:r>
        <w:rPr>
          <w:rFonts w:hint="eastAsia" w:ascii="宋体" w:hAnsi="宋体" w:eastAsia="宋体" w:cs="宋体"/>
          <w:b/>
          <w:bCs/>
          <w:color w:val="auto"/>
          <w:sz w:val="21"/>
          <w:szCs w:val="21"/>
        </w:rPr>
        <w:t>7.2收集质量要求</w:t>
      </w:r>
      <w:bookmarkEnd w:id="33"/>
      <w:bookmarkEnd w:id="34"/>
    </w:p>
    <w:p w14:paraId="17D59061">
      <w:pPr>
        <w:pStyle w:val="12"/>
        <w:numPr>
          <w:ilvl w:val="0"/>
          <w:numId w:val="6"/>
        </w:numPr>
        <w:ind w:firstLineChars="0"/>
        <w:rPr>
          <w:rFonts w:ascii="仿宋" w:hAnsi="仿宋" w:eastAsia="仿宋" w:cs="仿宋"/>
          <w:szCs w:val="21"/>
        </w:rPr>
      </w:pPr>
      <w:r>
        <w:rPr>
          <w:rFonts w:hint="eastAsia" w:ascii="仿宋" w:hAnsi="仿宋" w:eastAsia="仿宋" w:cs="仿宋"/>
          <w:szCs w:val="21"/>
        </w:rPr>
        <w:t>初级数据质量要求</w:t>
      </w:r>
    </w:p>
    <w:p w14:paraId="6CC1EE7E">
      <w:pPr>
        <w:pStyle w:val="12"/>
        <w:rPr>
          <w:rFonts w:ascii="仿宋" w:hAnsi="仿宋" w:eastAsia="仿宋" w:cs="仿宋"/>
          <w:szCs w:val="21"/>
        </w:rPr>
      </w:pPr>
      <w:r>
        <w:rPr>
          <w:rFonts w:hint="eastAsia" w:ascii="仿宋" w:hAnsi="仿宋" w:eastAsia="仿宋" w:cs="仿宋"/>
          <w:szCs w:val="21"/>
        </w:rPr>
        <w:t>a)完整性。初级数据宜按照界定的时间范围进行采集，根据数据取舍准则的要求,检查是否有缺失的单元过程或输入输出物质；</w:t>
      </w:r>
    </w:p>
    <w:p w14:paraId="543B2F68">
      <w:pPr>
        <w:pStyle w:val="12"/>
        <w:rPr>
          <w:rFonts w:ascii="仿宋" w:hAnsi="仿宋" w:eastAsia="仿宋" w:cs="仿宋"/>
          <w:szCs w:val="21"/>
        </w:rPr>
      </w:pPr>
      <w:r>
        <w:rPr>
          <w:rFonts w:hint="eastAsia" w:ascii="仿宋" w:hAnsi="仿宋" w:eastAsia="仿宋" w:cs="仿宋"/>
          <w:szCs w:val="21"/>
        </w:rPr>
        <w:t>b)准确性。初级数据中的原材料与能源消耗数据应来自企业实际生产统计记录，排放数据优先选择核查报告、监测报告或由物料平衡公式计算获得的数据；</w:t>
      </w:r>
    </w:p>
    <w:p w14:paraId="4CD0AE42">
      <w:pPr>
        <w:pStyle w:val="12"/>
        <w:rPr>
          <w:rFonts w:ascii="仿宋" w:hAnsi="仿宋" w:eastAsia="仿宋" w:cs="仿宋"/>
          <w:szCs w:val="21"/>
        </w:rPr>
      </w:pPr>
      <w:r>
        <w:rPr>
          <w:rFonts w:hint="eastAsia" w:ascii="仿宋" w:hAnsi="仿宋" w:eastAsia="仿宋" w:cs="仿宋"/>
          <w:szCs w:val="21"/>
        </w:rPr>
        <w:t>c)一致性。初级数据采集时，同类数据应保持相同的数据来源、统计口径和处理规则等。</w:t>
      </w:r>
    </w:p>
    <w:p w14:paraId="025C23A7">
      <w:pPr>
        <w:pStyle w:val="12"/>
        <w:numPr>
          <w:ilvl w:val="0"/>
          <w:numId w:val="6"/>
        </w:numPr>
        <w:ind w:firstLineChars="0"/>
        <w:rPr>
          <w:rFonts w:ascii="仿宋" w:hAnsi="仿宋" w:eastAsia="仿宋" w:cs="仿宋"/>
          <w:szCs w:val="21"/>
        </w:rPr>
      </w:pPr>
      <w:r>
        <w:rPr>
          <w:rFonts w:hint="eastAsia" w:ascii="仿宋" w:hAnsi="仿宋" w:eastAsia="仿宋" w:cs="仿宋"/>
          <w:szCs w:val="21"/>
        </w:rPr>
        <w:t>次级数据质量要求</w:t>
      </w:r>
    </w:p>
    <w:p w14:paraId="6FAA788D">
      <w:pPr>
        <w:pStyle w:val="12"/>
        <w:numPr>
          <w:ilvl w:val="0"/>
          <w:numId w:val="7"/>
        </w:numPr>
        <w:rPr>
          <w:rFonts w:ascii="仿宋" w:hAnsi="仿宋" w:eastAsia="仿宋" w:cs="仿宋"/>
          <w:szCs w:val="21"/>
        </w:rPr>
      </w:pPr>
      <w:r>
        <w:rPr>
          <w:rFonts w:hint="eastAsia" w:ascii="仿宋" w:hAnsi="仿宋" w:eastAsia="仿宋" w:cs="仿宋"/>
          <w:szCs w:val="21"/>
        </w:rPr>
        <w:t>代表性。优先选择与评估产品系统的时间代表性、区域代表性、技术代表性相近的数据，其次选择近年代表国内及行业平均生产水平公开的生命周期评价数据，最后选择国外同类技术数据；</w:t>
      </w:r>
    </w:p>
    <w:p w14:paraId="527075D9">
      <w:pPr>
        <w:pStyle w:val="12"/>
        <w:numPr>
          <w:ilvl w:val="0"/>
          <w:numId w:val="7"/>
        </w:numPr>
        <w:rPr>
          <w:rFonts w:ascii="仿宋" w:hAnsi="仿宋" w:eastAsia="仿宋" w:cs="仿宋"/>
          <w:szCs w:val="21"/>
        </w:rPr>
      </w:pPr>
      <w:r>
        <w:rPr>
          <w:rFonts w:hint="eastAsia" w:ascii="仿宋" w:hAnsi="仿宋" w:eastAsia="仿宋" w:cs="仿宋"/>
          <w:szCs w:val="21"/>
        </w:rPr>
        <w:t>完整性。应涵盖系统边界规定的所有单元过程；</w:t>
      </w:r>
    </w:p>
    <w:p w14:paraId="323430D8">
      <w:pPr>
        <w:pStyle w:val="12"/>
        <w:numPr>
          <w:ilvl w:val="0"/>
          <w:numId w:val="7"/>
        </w:numPr>
        <w:rPr>
          <w:rFonts w:ascii="仿宋" w:hAnsi="仿宋" w:eastAsia="仿宋" w:cs="仿宋"/>
          <w:szCs w:val="21"/>
        </w:rPr>
      </w:pPr>
      <w:r>
        <w:rPr>
          <w:rFonts w:hint="eastAsia" w:ascii="仿宋" w:hAnsi="仿宋" w:eastAsia="仿宋" w:cs="仿宋"/>
          <w:szCs w:val="21"/>
        </w:rPr>
        <w:t>一致性。对同类产品次级数据的选择应保持一致。</w:t>
      </w:r>
    </w:p>
    <w:p w14:paraId="23603B51">
      <w:pPr>
        <w:pStyle w:val="4"/>
        <w:keepNext w:val="0"/>
        <w:keepLines w:val="0"/>
        <w:widowControl/>
        <w:spacing w:before="0" w:after="0" w:line="400" w:lineRule="exact"/>
        <w:rPr>
          <w:rFonts w:ascii="宋体" w:hAnsi="宋体" w:eastAsia="宋体" w:cs="宋体"/>
          <w:b/>
          <w:bCs/>
          <w:color w:val="auto"/>
          <w:sz w:val="21"/>
          <w:szCs w:val="21"/>
        </w:rPr>
      </w:pPr>
      <w:bookmarkStart w:id="35" w:name="_Toc31706"/>
      <w:r>
        <w:rPr>
          <w:rFonts w:hint="eastAsia" w:ascii="宋体" w:hAnsi="宋体" w:eastAsia="宋体" w:cs="宋体"/>
          <w:b/>
          <w:bCs/>
          <w:color w:val="auto"/>
          <w:sz w:val="21"/>
          <w:szCs w:val="21"/>
        </w:rPr>
        <w:t>7.3数据质量评估</w:t>
      </w:r>
      <w:bookmarkEnd w:id="35"/>
    </w:p>
    <w:p w14:paraId="18E1871F">
      <w:pPr>
        <w:pStyle w:val="12"/>
        <w:rPr>
          <w:rFonts w:ascii="仿宋" w:hAnsi="仿宋" w:eastAsia="仿宋" w:cs="仿宋"/>
          <w:szCs w:val="21"/>
        </w:rPr>
      </w:pPr>
      <w:r>
        <w:rPr>
          <w:rFonts w:hint="eastAsia" w:ascii="仿宋" w:hAnsi="仿宋" w:eastAsia="仿宋" w:cs="仿宋"/>
          <w:szCs w:val="21"/>
        </w:rPr>
        <w:t>开展产品碳足迹研究的组织宜建立数据管理系统,保留相关文件和记录,进行数据质量评价,并持续提高数据质量。电解铝产品碳足迹量化数据质量评价方法见表4,对质量较差的数据应进行敏感性分析。</w:t>
      </w:r>
    </w:p>
    <w:p w14:paraId="0BD886C5">
      <w:pPr>
        <w:spacing w:line="360" w:lineRule="auto"/>
        <w:jc w:val="center"/>
        <w:rPr>
          <w:rFonts w:ascii="仿宋" w:hAnsi="仿宋" w:eastAsia="仿宋" w:cs="仿宋"/>
          <w:kern w:val="0"/>
          <w:szCs w:val="21"/>
        </w:rPr>
      </w:pPr>
      <w:r>
        <w:rPr>
          <w:rFonts w:hint="eastAsia" w:ascii="仿宋" w:hAnsi="仿宋" w:eastAsia="仿宋" w:cs="仿宋"/>
          <w:kern w:val="0"/>
          <w:szCs w:val="21"/>
        </w:rPr>
        <w:t>表4 数据质量评价方法</w:t>
      </w:r>
    </w:p>
    <w:tbl>
      <w:tblPr>
        <w:tblStyle w:val="24"/>
        <w:tblW w:w="8518"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7"/>
        <w:gridCol w:w="1613"/>
        <w:gridCol w:w="933"/>
        <w:gridCol w:w="1227"/>
        <w:gridCol w:w="2173"/>
        <w:gridCol w:w="1855"/>
      </w:tblGrid>
      <w:tr w14:paraId="69720EDA">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717" w:type="dxa"/>
            <w:tcBorders>
              <w:bottom w:val="single" w:color="000000" w:sz="4" w:space="0"/>
            </w:tcBorders>
            <w:vAlign w:val="center"/>
          </w:tcPr>
          <w:p w14:paraId="1ECF6E0C">
            <w:pPr>
              <w:jc w:val="center"/>
              <w:rPr>
                <w:rFonts w:ascii="仿宋" w:hAnsi="仿宋" w:eastAsia="仿宋" w:cs="仿宋"/>
                <w:b/>
                <w:bCs/>
                <w:kern w:val="0"/>
                <w:szCs w:val="21"/>
              </w:rPr>
            </w:pPr>
            <w:r>
              <w:rPr>
                <w:rFonts w:hint="eastAsia" w:ascii="仿宋" w:hAnsi="仿宋" w:eastAsia="仿宋" w:cs="仿宋"/>
                <w:b/>
                <w:bCs/>
                <w:kern w:val="0"/>
                <w:szCs w:val="21"/>
              </w:rPr>
              <w:t>评级</w:t>
            </w:r>
          </w:p>
        </w:tc>
        <w:tc>
          <w:tcPr>
            <w:tcW w:w="1613" w:type="dxa"/>
            <w:tcBorders>
              <w:bottom w:val="single" w:color="000000" w:sz="4" w:space="0"/>
            </w:tcBorders>
            <w:vAlign w:val="center"/>
          </w:tcPr>
          <w:p w14:paraId="1A5826EE">
            <w:pPr>
              <w:jc w:val="center"/>
              <w:rPr>
                <w:rFonts w:ascii="仿宋" w:hAnsi="仿宋" w:eastAsia="仿宋" w:cs="仿宋"/>
                <w:b/>
                <w:bCs/>
                <w:kern w:val="0"/>
                <w:szCs w:val="21"/>
              </w:rPr>
            </w:pPr>
            <w:r>
              <w:rPr>
                <w:rFonts w:hint="eastAsia" w:ascii="仿宋" w:hAnsi="仿宋" w:eastAsia="仿宋" w:cs="仿宋"/>
                <w:b/>
                <w:bCs/>
                <w:kern w:val="0"/>
                <w:szCs w:val="21"/>
              </w:rPr>
              <w:t>技术</w:t>
            </w:r>
          </w:p>
        </w:tc>
        <w:tc>
          <w:tcPr>
            <w:tcW w:w="933" w:type="dxa"/>
            <w:tcBorders>
              <w:bottom w:val="single" w:color="000000" w:sz="4" w:space="0"/>
            </w:tcBorders>
            <w:vAlign w:val="center"/>
          </w:tcPr>
          <w:p w14:paraId="223ECDFF">
            <w:pPr>
              <w:jc w:val="center"/>
              <w:rPr>
                <w:rFonts w:ascii="仿宋" w:hAnsi="仿宋" w:eastAsia="仿宋" w:cs="仿宋"/>
                <w:b/>
                <w:bCs/>
                <w:kern w:val="0"/>
                <w:szCs w:val="21"/>
              </w:rPr>
            </w:pPr>
            <w:r>
              <w:rPr>
                <w:rFonts w:hint="eastAsia" w:ascii="仿宋" w:hAnsi="仿宋" w:eastAsia="仿宋" w:cs="仿宋"/>
                <w:b/>
                <w:bCs/>
                <w:kern w:val="0"/>
                <w:szCs w:val="21"/>
              </w:rPr>
              <w:t>时间</w:t>
            </w:r>
          </w:p>
        </w:tc>
        <w:tc>
          <w:tcPr>
            <w:tcW w:w="1227" w:type="dxa"/>
            <w:tcBorders>
              <w:bottom w:val="single" w:color="000000" w:sz="4" w:space="0"/>
            </w:tcBorders>
            <w:vAlign w:val="center"/>
          </w:tcPr>
          <w:p w14:paraId="134324F5">
            <w:pPr>
              <w:jc w:val="center"/>
              <w:rPr>
                <w:rFonts w:ascii="仿宋" w:hAnsi="仿宋" w:eastAsia="仿宋" w:cs="仿宋"/>
                <w:b/>
                <w:bCs/>
                <w:kern w:val="0"/>
                <w:szCs w:val="21"/>
              </w:rPr>
            </w:pPr>
            <w:r>
              <w:rPr>
                <w:rFonts w:hint="eastAsia" w:ascii="仿宋" w:hAnsi="仿宋" w:eastAsia="仿宋" w:cs="仿宋"/>
                <w:b/>
                <w:bCs/>
                <w:kern w:val="0"/>
                <w:szCs w:val="21"/>
              </w:rPr>
              <w:t>地域</w:t>
            </w:r>
          </w:p>
        </w:tc>
        <w:tc>
          <w:tcPr>
            <w:tcW w:w="2173" w:type="dxa"/>
            <w:tcBorders>
              <w:bottom w:val="single" w:color="000000" w:sz="4" w:space="0"/>
            </w:tcBorders>
            <w:vAlign w:val="center"/>
          </w:tcPr>
          <w:p w14:paraId="1E5B3BDA">
            <w:pPr>
              <w:jc w:val="center"/>
              <w:rPr>
                <w:rFonts w:ascii="仿宋" w:hAnsi="仿宋" w:eastAsia="仿宋" w:cs="仿宋"/>
                <w:b/>
                <w:bCs/>
                <w:kern w:val="0"/>
                <w:szCs w:val="21"/>
              </w:rPr>
            </w:pPr>
            <w:r>
              <w:rPr>
                <w:rFonts w:hint="eastAsia" w:ascii="仿宋" w:hAnsi="仿宋" w:eastAsia="仿宋" w:cs="仿宋"/>
                <w:b/>
                <w:bCs/>
                <w:kern w:val="0"/>
                <w:szCs w:val="21"/>
              </w:rPr>
              <w:t>可靠性</w:t>
            </w:r>
          </w:p>
        </w:tc>
        <w:tc>
          <w:tcPr>
            <w:tcW w:w="1855" w:type="dxa"/>
            <w:tcBorders>
              <w:bottom w:val="single" w:color="000000" w:sz="4" w:space="0"/>
            </w:tcBorders>
            <w:vAlign w:val="center"/>
          </w:tcPr>
          <w:p w14:paraId="7F134201">
            <w:pPr>
              <w:jc w:val="center"/>
              <w:rPr>
                <w:rFonts w:ascii="仿宋" w:hAnsi="仿宋" w:eastAsia="仿宋" w:cs="仿宋"/>
                <w:b/>
                <w:bCs/>
                <w:kern w:val="0"/>
                <w:szCs w:val="21"/>
              </w:rPr>
            </w:pPr>
            <w:r>
              <w:rPr>
                <w:rFonts w:hint="eastAsia" w:ascii="仿宋" w:hAnsi="仿宋" w:eastAsia="仿宋" w:cs="仿宋"/>
                <w:b/>
                <w:bCs/>
                <w:kern w:val="0"/>
                <w:szCs w:val="21"/>
              </w:rPr>
              <w:t>完整性</w:t>
            </w:r>
          </w:p>
        </w:tc>
      </w:tr>
      <w:tr w14:paraId="7D60DFB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717" w:type="dxa"/>
            <w:tcBorders>
              <w:top w:val="single" w:color="000000" w:sz="4" w:space="0"/>
              <w:tl2br w:val="nil"/>
              <w:tr2bl w:val="nil"/>
            </w:tcBorders>
            <w:vAlign w:val="center"/>
          </w:tcPr>
          <w:p w14:paraId="3341B535">
            <w:pPr>
              <w:jc w:val="center"/>
              <w:rPr>
                <w:rFonts w:ascii="仿宋" w:hAnsi="仿宋" w:eastAsia="仿宋" w:cs="仿宋"/>
                <w:kern w:val="0"/>
                <w:szCs w:val="21"/>
              </w:rPr>
            </w:pPr>
            <w:r>
              <w:rPr>
                <w:rFonts w:hint="eastAsia" w:ascii="仿宋" w:hAnsi="仿宋" w:eastAsia="仿宋" w:cs="仿宋"/>
                <w:kern w:val="0"/>
                <w:szCs w:val="21"/>
              </w:rPr>
              <w:t>优</w:t>
            </w:r>
          </w:p>
        </w:tc>
        <w:tc>
          <w:tcPr>
            <w:tcW w:w="1613" w:type="dxa"/>
            <w:tcBorders>
              <w:top w:val="single" w:color="000000" w:sz="4" w:space="0"/>
              <w:tl2br w:val="nil"/>
              <w:tr2bl w:val="nil"/>
            </w:tcBorders>
            <w:vAlign w:val="center"/>
          </w:tcPr>
          <w:p w14:paraId="3E134BD3">
            <w:pPr>
              <w:jc w:val="center"/>
              <w:rPr>
                <w:rFonts w:ascii="仿宋" w:hAnsi="仿宋" w:eastAsia="仿宋" w:cs="仿宋"/>
                <w:kern w:val="0"/>
                <w:szCs w:val="21"/>
              </w:rPr>
            </w:pPr>
            <w:r>
              <w:rPr>
                <w:rFonts w:hint="eastAsia" w:ascii="仿宋" w:hAnsi="仿宋" w:eastAsia="仿宋" w:cs="仿宋"/>
                <w:kern w:val="0"/>
                <w:szCs w:val="21"/>
              </w:rPr>
              <w:t>相同技术数据</w:t>
            </w:r>
          </w:p>
        </w:tc>
        <w:tc>
          <w:tcPr>
            <w:tcW w:w="933" w:type="dxa"/>
            <w:tcBorders>
              <w:top w:val="single" w:color="000000" w:sz="4" w:space="0"/>
              <w:tl2br w:val="nil"/>
              <w:tr2bl w:val="nil"/>
            </w:tcBorders>
            <w:vAlign w:val="center"/>
          </w:tcPr>
          <w:p w14:paraId="168DE2CE">
            <w:pPr>
              <w:rPr>
                <w:rFonts w:ascii="仿宋" w:hAnsi="仿宋" w:eastAsia="仿宋" w:cs="仿宋"/>
                <w:kern w:val="0"/>
                <w:szCs w:val="21"/>
              </w:rPr>
            </w:pPr>
            <w:r>
              <w:rPr>
                <w:rFonts w:hint="eastAsia" w:ascii="仿宋" w:hAnsi="仿宋" w:eastAsia="仿宋" w:cs="仿宋"/>
                <w:kern w:val="0"/>
                <w:szCs w:val="21"/>
              </w:rPr>
              <w:t>≤3a</w:t>
            </w:r>
          </w:p>
        </w:tc>
        <w:tc>
          <w:tcPr>
            <w:tcW w:w="1227" w:type="dxa"/>
            <w:tcBorders>
              <w:top w:val="single" w:color="000000" w:sz="4" w:space="0"/>
              <w:tl2br w:val="nil"/>
              <w:tr2bl w:val="nil"/>
            </w:tcBorders>
            <w:vAlign w:val="center"/>
          </w:tcPr>
          <w:p w14:paraId="24DD07B5">
            <w:pPr>
              <w:rPr>
                <w:rFonts w:ascii="仿宋" w:hAnsi="仿宋" w:eastAsia="仿宋" w:cs="仿宋"/>
                <w:kern w:val="0"/>
                <w:szCs w:val="21"/>
              </w:rPr>
            </w:pPr>
            <w:r>
              <w:rPr>
                <w:rFonts w:hint="eastAsia" w:ascii="仿宋" w:hAnsi="仿宋" w:eastAsia="仿宋" w:cs="仿宋"/>
                <w:kern w:val="0"/>
                <w:szCs w:val="21"/>
              </w:rPr>
              <w:t>同一地区</w:t>
            </w:r>
          </w:p>
        </w:tc>
        <w:tc>
          <w:tcPr>
            <w:tcW w:w="2173" w:type="dxa"/>
            <w:tcBorders>
              <w:top w:val="single" w:color="000000" w:sz="4" w:space="0"/>
              <w:tl2br w:val="nil"/>
              <w:tr2bl w:val="nil"/>
            </w:tcBorders>
            <w:vAlign w:val="center"/>
          </w:tcPr>
          <w:p w14:paraId="72226251">
            <w:pPr>
              <w:rPr>
                <w:rFonts w:ascii="仿宋" w:hAnsi="仿宋" w:eastAsia="仿宋" w:cs="仿宋"/>
                <w:kern w:val="0"/>
                <w:szCs w:val="21"/>
              </w:rPr>
            </w:pPr>
            <w:r>
              <w:rPr>
                <w:rFonts w:hint="eastAsia" w:ascii="仿宋" w:hAnsi="仿宋" w:eastAsia="仿宋" w:cs="仿宋"/>
                <w:kern w:val="0"/>
                <w:szCs w:val="21"/>
              </w:rPr>
              <w:t>测量或经核查</w:t>
            </w:r>
          </w:p>
        </w:tc>
        <w:tc>
          <w:tcPr>
            <w:tcW w:w="1855" w:type="dxa"/>
            <w:tcBorders>
              <w:top w:val="single" w:color="000000" w:sz="4" w:space="0"/>
              <w:tl2br w:val="nil"/>
              <w:tr2bl w:val="nil"/>
            </w:tcBorders>
            <w:vAlign w:val="center"/>
          </w:tcPr>
          <w:p w14:paraId="75062C21">
            <w:pPr>
              <w:rPr>
                <w:rFonts w:ascii="仿宋" w:hAnsi="仿宋" w:eastAsia="仿宋" w:cs="仿宋"/>
                <w:kern w:val="0"/>
                <w:szCs w:val="21"/>
              </w:rPr>
            </w:pPr>
            <w:r>
              <w:rPr>
                <w:rFonts w:hint="eastAsia" w:ascii="仿宋" w:hAnsi="仿宋" w:eastAsia="仿宋" w:cs="仿宋"/>
                <w:kern w:val="0"/>
                <w:szCs w:val="21"/>
              </w:rPr>
              <w:t>数据基本完整</w:t>
            </w:r>
          </w:p>
        </w:tc>
      </w:tr>
      <w:tr w14:paraId="14892B4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717" w:type="dxa"/>
            <w:tcBorders>
              <w:tl2br w:val="nil"/>
              <w:tr2bl w:val="nil"/>
            </w:tcBorders>
            <w:vAlign w:val="center"/>
          </w:tcPr>
          <w:p w14:paraId="7A107970">
            <w:pPr>
              <w:jc w:val="center"/>
              <w:rPr>
                <w:rFonts w:ascii="仿宋" w:hAnsi="仿宋" w:eastAsia="仿宋" w:cs="仿宋"/>
                <w:kern w:val="0"/>
                <w:szCs w:val="21"/>
              </w:rPr>
            </w:pPr>
            <w:r>
              <w:rPr>
                <w:rFonts w:hint="eastAsia" w:ascii="仿宋" w:hAnsi="仿宋" w:eastAsia="仿宋" w:cs="仿宋"/>
                <w:kern w:val="0"/>
                <w:szCs w:val="21"/>
              </w:rPr>
              <w:t>良</w:t>
            </w:r>
          </w:p>
        </w:tc>
        <w:tc>
          <w:tcPr>
            <w:tcW w:w="1613" w:type="dxa"/>
            <w:tcBorders>
              <w:tl2br w:val="nil"/>
              <w:tr2bl w:val="nil"/>
            </w:tcBorders>
            <w:vAlign w:val="center"/>
          </w:tcPr>
          <w:p w14:paraId="782D7713">
            <w:pPr>
              <w:jc w:val="center"/>
              <w:rPr>
                <w:rFonts w:ascii="仿宋" w:hAnsi="仿宋" w:eastAsia="仿宋" w:cs="仿宋"/>
                <w:kern w:val="0"/>
                <w:szCs w:val="21"/>
              </w:rPr>
            </w:pPr>
            <w:r>
              <w:rPr>
                <w:rFonts w:hint="eastAsia" w:ascii="仿宋" w:hAnsi="仿宋" w:eastAsia="仿宋" w:cs="仿宋"/>
                <w:kern w:val="0"/>
                <w:szCs w:val="21"/>
              </w:rPr>
              <w:t>类似技术数据</w:t>
            </w:r>
          </w:p>
        </w:tc>
        <w:tc>
          <w:tcPr>
            <w:tcW w:w="933" w:type="dxa"/>
            <w:tcBorders>
              <w:tl2br w:val="nil"/>
              <w:tr2bl w:val="nil"/>
            </w:tcBorders>
            <w:vAlign w:val="center"/>
          </w:tcPr>
          <w:p w14:paraId="09A65252">
            <w:pPr>
              <w:rPr>
                <w:rFonts w:ascii="仿宋" w:hAnsi="仿宋" w:eastAsia="仿宋" w:cs="仿宋"/>
                <w:kern w:val="0"/>
                <w:szCs w:val="21"/>
              </w:rPr>
            </w:pPr>
            <w:r>
              <w:rPr>
                <w:rFonts w:hint="eastAsia" w:ascii="仿宋" w:hAnsi="仿宋" w:eastAsia="仿宋" w:cs="仿宋"/>
                <w:kern w:val="0"/>
                <w:szCs w:val="21"/>
              </w:rPr>
              <w:t>3a~5a</w:t>
            </w:r>
          </w:p>
        </w:tc>
        <w:tc>
          <w:tcPr>
            <w:tcW w:w="1227" w:type="dxa"/>
            <w:tcBorders>
              <w:tl2br w:val="nil"/>
              <w:tr2bl w:val="nil"/>
            </w:tcBorders>
            <w:vAlign w:val="center"/>
          </w:tcPr>
          <w:p w14:paraId="39710D89">
            <w:pPr>
              <w:rPr>
                <w:rFonts w:ascii="仿宋" w:hAnsi="仿宋" w:eastAsia="仿宋" w:cs="仿宋"/>
                <w:kern w:val="0"/>
                <w:szCs w:val="21"/>
              </w:rPr>
            </w:pPr>
            <w:r>
              <w:rPr>
                <w:rFonts w:hint="eastAsia" w:ascii="仿宋" w:hAnsi="仿宋" w:eastAsia="仿宋" w:cs="仿宋"/>
                <w:kern w:val="0"/>
                <w:szCs w:val="21"/>
              </w:rPr>
              <w:t>相似地区</w:t>
            </w:r>
          </w:p>
        </w:tc>
        <w:tc>
          <w:tcPr>
            <w:tcW w:w="2173" w:type="dxa"/>
            <w:tcBorders>
              <w:tl2br w:val="nil"/>
              <w:tr2bl w:val="nil"/>
            </w:tcBorders>
            <w:vAlign w:val="center"/>
          </w:tcPr>
          <w:p w14:paraId="12AA9B28">
            <w:pPr>
              <w:rPr>
                <w:rFonts w:ascii="仿宋" w:hAnsi="仿宋" w:eastAsia="仿宋" w:cs="仿宋"/>
                <w:kern w:val="0"/>
                <w:szCs w:val="21"/>
              </w:rPr>
            </w:pPr>
            <w:r>
              <w:rPr>
                <w:rFonts w:hint="eastAsia" w:ascii="仿宋" w:hAnsi="仿宋" w:eastAsia="仿宋" w:cs="仿宋"/>
                <w:kern w:val="0"/>
                <w:szCs w:val="21"/>
              </w:rPr>
              <w:t>部分测量或部分核查</w:t>
            </w:r>
          </w:p>
        </w:tc>
        <w:tc>
          <w:tcPr>
            <w:tcW w:w="1855" w:type="dxa"/>
            <w:tcBorders>
              <w:tl2br w:val="nil"/>
              <w:tr2bl w:val="nil"/>
            </w:tcBorders>
            <w:vAlign w:val="center"/>
          </w:tcPr>
          <w:p w14:paraId="10A3DB32">
            <w:pPr>
              <w:rPr>
                <w:rFonts w:ascii="仿宋" w:hAnsi="仿宋" w:eastAsia="仿宋" w:cs="仿宋"/>
                <w:kern w:val="0"/>
                <w:szCs w:val="21"/>
              </w:rPr>
            </w:pPr>
            <w:r>
              <w:rPr>
                <w:rFonts w:hint="eastAsia" w:ascii="仿宋" w:hAnsi="仿宋" w:eastAsia="仿宋" w:cs="仿宋"/>
                <w:kern w:val="0"/>
                <w:szCs w:val="21"/>
              </w:rPr>
              <w:t>数据完整性≥80%</w:t>
            </w:r>
          </w:p>
        </w:tc>
      </w:tr>
      <w:tr w14:paraId="6464822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717" w:type="dxa"/>
            <w:tcBorders>
              <w:tl2br w:val="nil"/>
              <w:tr2bl w:val="nil"/>
            </w:tcBorders>
            <w:vAlign w:val="center"/>
          </w:tcPr>
          <w:p w14:paraId="66A648E2">
            <w:pPr>
              <w:jc w:val="center"/>
              <w:rPr>
                <w:rFonts w:ascii="仿宋" w:hAnsi="仿宋" w:eastAsia="仿宋" w:cs="仿宋"/>
                <w:kern w:val="0"/>
                <w:szCs w:val="21"/>
              </w:rPr>
            </w:pPr>
            <w:r>
              <w:rPr>
                <w:rFonts w:hint="eastAsia" w:ascii="仿宋" w:hAnsi="仿宋" w:eastAsia="仿宋" w:cs="仿宋"/>
                <w:kern w:val="0"/>
                <w:szCs w:val="21"/>
              </w:rPr>
              <w:t>差</w:t>
            </w:r>
          </w:p>
        </w:tc>
        <w:tc>
          <w:tcPr>
            <w:tcW w:w="1613" w:type="dxa"/>
            <w:tcBorders>
              <w:tl2br w:val="nil"/>
              <w:tr2bl w:val="nil"/>
            </w:tcBorders>
            <w:vAlign w:val="center"/>
          </w:tcPr>
          <w:p w14:paraId="301AC1E9">
            <w:pPr>
              <w:jc w:val="center"/>
              <w:rPr>
                <w:rFonts w:ascii="仿宋" w:hAnsi="仿宋" w:eastAsia="仿宋" w:cs="仿宋"/>
                <w:kern w:val="0"/>
                <w:szCs w:val="21"/>
              </w:rPr>
            </w:pPr>
            <w:r>
              <w:rPr>
                <w:rFonts w:hint="eastAsia" w:ascii="仿宋" w:hAnsi="仿宋" w:eastAsia="仿宋" w:cs="仿宋"/>
                <w:kern w:val="0"/>
                <w:szCs w:val="21"/>
              </w:rPr>
              <w:t>不同技术数据</w:t>
            </w:r>
          </w:p>
        </w:tc>
        <w:tc>
          <w:tcPr>
            <w:tcW w:w="933" w:type="dxa"/>
            <w:tcBorders>
              <w:tl2br w:val="nil"/>
              <w:tr2bl w:val="nil"/>
            </w:tcBorders>
            <w:vAlign w:val="center"/>
          </w:tcPr>
          <w:p w14:paraId="153193E4">
            <w:pPr>
              <w:rPr>
                <w:rFonts w:ascii="仿宋" w:hAnsi="仿宋" w:eastAsia="仿宋" w:cs="仿宋"/>
                <w:kern w:val="0"/>
                <w:szCs w:val="21"/>
              </w:rPr>
            </w:pPr>
            <w:r>
              <w:rPr>
                <w:rFonts w:hint="eastAsia" w:ascii="仿宋" w:hAnsi="仿宋" w:eastAsia="仿宋" w:cs="仿宋"/>
                <w:kern w:val="0"/>
                <w:szCs w:val="21"/>
              </w:rPr>
              <w:t>5a~10a</w:t>
            </w:r>
          </w:p>
        </w:tc>
        <w:tc>
          <w:tcPr>
            <w:tcW w:w="1227" w:type="dxa"/>
            <w:tcBorders>
              <w:tl2br w:val="nil"/>
              <w:tr2bl w:val="nil"/>
            </w:tcBorders>
            <w:vAlign w:val="center"/>
          </w:tcPr>
          <w:p w14:paraId="563F883F">
            <w:pPr>
              <w:rPr>
                <w:rFonts w:ascii="仿宋" w:hAnsi="仿宋" w:eastAsia="仿宋" w:cs="仿宋"/>
                <w:kern w:val="0"/>
                <w:szCs w:val="21"/>
              </w:rPr>
            </w:pPr>
            <w:r>
              <w:rPr>
                <w:rFonts w:hint="eastAsia" w:ascii="仿宋" w:hAnsi="仿宋" w:eastAsia="仿宋" w:cs="仿宋"/>
                <w:kern w:val="0"/>
                <w:szCs w:val="21"/>
              </w:rPr>
              <w:t>不同地区</w:t>
            </w:r>
          </w:p>
        </w:tc>
        <w:tc>
          <w:tcPr>
            <w:tcW w:w="2173" w:type="dxa"/>
            <w:tcBorders>
              <w:tl2br w:val="nil"/>
              <w:tr2bl w:val="nil"/>
            </w:tcBorders>
            <w:vAlign w:val="center"/>
          </w:tcPr>
          <w:p w14:paraId="4DD0C0D6">
            <w:pPr>
              <w:rPr>
                <w:rFonts w:ascii="仿宋" w:hAnsi="仿宋" w:eastAsia="仿宋" w:cs="仿宋"/>
                <w:kern w:val="0"/>
                <w:szCs w:val="21"/>
              </w:rPr>
            </w:pPr>
            <w:r>
              <w:rPr>
                <w:rFonts w:hint="eastAsia" w:ascii="仿宋" w:hAnsi="仿宋" w:eastAsia="仿宋" w:cs="仿宋"/>
                <w:kern w:val="0"/>
                <w:szCs w:val="21"/>
              </w:rPr>
              <w:t>次级数据估算值</w:t>
            </w:r>
          </w:p>
        </w:tc>
        <w:tc>
          <w:tcPr>
            <w:tcW w:w="1855" w:type="dxa"/>
            <w:tcBorders>
              <w:tl2br w:val="nil"/>
              <w:tr2bl w:val="nil"/>
            </w:tcBorders>
            <w:vAlign w:val="center"/>
          </w:tcPr>
          <w:p w14:paraId="3A9CD4EA">
            <w:pPr>
              <w:rPr>
                <w:rFonts w:ascii="仿宋" w:hAnsi="仿宋" w:eastAsia="仿宋" w:cs="仿宋"/>
                <w:kern w:val="0"/>
                <w:szCs w:val="21"/>
              </w:rPr>
            </w:pPr>
            <w:r>
              <w:rPr>
                <w:rFonts w:hint="eastAsia" w:ascii="仿宋" w:hAnsi="仿宋" w:eastAsia="仿宋" w:cs="仿宋"/>
                <w:kern w:val="0"/>
                <w:szCs w:val="21"/>
              </w:rPr>
              <w:t>数据完整性≥50%</w:t>
            </w:r>
          </w:p>
        </w:tc>
      </w:tr>
    </w:tbl>
    <w:p w14:paraId="6BB85EC4">
      <w:pPr>
        <w:pStyle w:val="3"/>
        <w:numPr>
          <w:ilvl w:val="0"/>
          <w:numId w:val="8"/>
        </w:numPr>
        <w:spacing w:before="80"/>
        <w:rPr>
          <w:rFonts w:ascii="宋体" w:hAnsi="宋体" w:eastAsia="宋体" w:cs="宋体"/>
          <w:b/>
          <w:bCs/>
          <w:color w:val="auto"/>
          <w:sz w:val="21"/>
          <w:szCs w:val="21"/>
        </w:rPr>
      </w:pPr>
      <w:bookmarkStart w:id="36" w:name="_Toc14293"/>
      <w:r>
        <w:rPr>
          <w:rFonts w:hint="eastAsia" w:ascii="宋体" w:hAnsi="宋体" w:eastAsia="宋体" w:cs="宋体"/>
          <w:b/>
          <w:bCs/>
          <w:color w:val="auto"/>
          <w:sz w:val="21"/>
          <w:szCs w:val="21"/>
        </w:rPr>
        <w:t>生命周期清单分析</w:t>
      </w:r>
      <w:bookmarkEnd w:id="36"/>
    </w:p>
    <w:p w14:paraId="1BDB5A63">
      <w:pPr>
        <w:pStyle w:val="4"/>
        <w:spacing w:before="80"/>
        <w:rPr>
          <w:rFonts w:ascii="宋体" w:hAnsi="宋体" w:eastAsia="宋体" w:cs="宋体"/>
          <w:b/>
          <w:bCs/>
          <w:color w:val="auto"/>
          <w:sz w:val="21"/>
          <w:szCs w:val="21"/>
        </w:rPr>
      </w:pPr>
      <w:bookmarkStart w:id="37" w:name="_Toc9281"/>
      <w:r>
        <w:rPr>
          <w:rFonts w:hint="eastAsia" w:ascii="宋体" w:hAnsi="宋体" w:eastAsia="宋体" w:cs="宋体"/>
          <w:b/>
          <w:bCs/>
          <w:color w:val="auto"/>
          <w:sz w:val="21"/>
          <w:szCs w:val="21"/>
        </w:rPr>
        <w:t>8.1数据收集</w:t>
      </w:r>
      <w:bookmarkEnd w:id="37"/>
    </w:p>
    <w:p w14:paraId="0CDFBD31">
      <w:pPr>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对于系统边界内的所有单元过程,应收集纳入生命周期清单中的定性和定量数据。用来量化单元过程的输入和输出数据是通过测量、计算或估算得到。对研究结论有显著影响的单元过程应在产品碳足迹研究报告中记录。</w:t>
      </w:r>
    </w:p>
    <w:p w14:paraId="27F72719">
      <w:pPr>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对于可能对研究结论有显著影响的数据,应说明相关数据的收集过程、收集时间以及数据质量的详细信息。如果这些数据不符合数据质量的要求,也应做出说明。</w:t>
      </w:r>
    </w:p>
    <w:p w14:paraId="1FB6BCB4">
      <w:pPr>
        <w:spacing w:line="360" w:lineRule="auto"/>
        <w:ind w:firstLine="420" w:firstLineChars="200"/>
        <w:rPr>
          <w:rFonts w:ascii="仿宋" w:hAnsi="仿宋" w:eastAsia="仿宋" w:cs="仿宋"/>
          <w:kern w:val="0"/>
          <w:szCs w:val="21"/>
        </w:rPr>
      </w:pPr>
      <w:r>
        <w:rPr>
          <w:rFonts w:hint="eastAsia" w:ascii="仿宋" w:hAnsi="仿宋" w:eastAsia="仿宋" w:cs="仿宋"/>
          <w:kern w:val="0"/>
          <w:szCs w:val="21"/>
        </w:rPr>
        <w:t>当数据收集可能分散于多个地址和发布的参考文献时,该产品系统宜使用一个有代表性和协调一致的数据集。</w:t>
      </w:r>
    </w:p>
    <w:p w14:paraId="7DE7CA11">
      <w:pPr>
        <w:rPr>
          <w:rFonts w:ascii="宋体" w:hAnsi="宋体" w:eastAsia="宋体" w:cs="宋体"/>
          <w:b/>
          <w:bCs/>
          <w:szCs w:val="21"/>
        </w:rPr>
      </w:pPr>
      <w:r>
        <w:rPr>
          <w:rFonts w:hint="eastAsia" w:ascii="宋体" w:hAnsi="宋体" w:eastAsia="宋体" w:cs="宋体"/>
          <w:b/>
          <w:bCs/>
          <w:szCs w:val="21"/>
        </w:rPr>
        <w:t>8.2数据审定</w:t>
      </w:r>
    </w:p>
    <w:p w14:paraId="1D8A4FC8">
      <w:pPr>
        <w:spacing w:line="360" w:lineRule="auto"/>
        <w:ind w:firstLine="420" w:firstLineChars="200"/>
        <w:rPr>
          <w:rFonts w:ascii="仿宋" w:hAnsi="仿宋" w:eastAsia="仿宋" w:cs="仿宋"/>
          <w:kern w:val="0"/>
          <w:szCs w:val="21"/>
        </w:rPr>
      </w:pPr>
      <w:r>
        <w:rPr>
          <w:rFonts w:ascii="仿宋" w:hAnsi="仿宋" w:eastAsia="仿宋" w:cs="仿宋"/>
          <w:kern w:val="0"/>
          <w:szCs w:val="21"/>
        </w:rPr>
        <w:t>在数据收集过程中应对数据的有效性进行检查,以确认并提供证据证明其符合</w:t>
      </w:r>
      <w:r>
        <w:rPr>
          <w:rFonts w:hint="eastAsia" w:ascii="仿宋" w:hAnsi="仿宋" w:eastAsia="仿宋" w:cs="仿宋"/>
          <w:kern w:val="0"/>
          <w:szCs w:val="21"/>
        </w:rPr>
        <w:t>7.2</w:t>
      </w:r>
      <w:r>
        <w:rPr>
          <w:rFonts w:ascii="仿宋" w:hAnsi="仿宋" w:eastAsia="仿宋" w:cs="仿宋"/>
          <w:kern w:val="0"/>
          <w:szCs w:val="21"/>
        </w:rPr>
        <w:t>规定的数据质量要求。</w:t>
      </w:r>
    </w:p>
    <w:p w14:paraId="3CA3CA89">
      <w:pPr>
        <w:spacing w:line="360" w:lineRule="auto"/>
        <w:ind w:firstLine="420" w:firstLineChars="200"/>
        <w:rPr>
          <w:rFonts w:ascii="仿宋" w:hAnsi="仿宋" w:eastAsia="仿宋" w:cs="仿宋"/>
          <w:kern w:val="0"/>
          <w:szCs w:val="21"/>
        </w:rPr>
      </w:pPr>
      <w:r>
        <w:rPr>
          <w:rFonts w:ascii="仿宋" w:hAnsi="仿宋" w:eastAsia="仿宋" w:cs="仿宋"/>
          <w:kern w:val="0"/>
          <w:szCs w:val="21"/>
        </w:rPr>
        <w:t>数据审定宜通过建立质量平衡、能量平衡或排放因子的比较分析或其他适当的方法。由于每个单元过程都遵守物质和能量守恒定律,因此物质和能量的平衡可为单元过程描述的准确性提供有效的检查。</w:t>
      </w:r>
    </w:p>
    <w:p w14:paraId="27ED72FF">
      <w:pPr>
        <w:pStyle w:val="4"/>
        <w:keepNext w:val="0"/>
        <w:keepLines w:val="0"/>
        <w:widowControl/>
        <w:spacing w:before="0" w:after="0" w:line="400" w:lineRule="exact"/>
        <w:jc w:val="left"/>
        <w:rPr>
          <w:rFonts w:ascii="宋体" w:hAnsi="宋体" w:eastAsia="宋体" w:cs="宋体"/>
          <w:b/>
          <w:bCs/>
          <w:color w:val="auto"/>
          <w:sz w:val="21"/>
          <w:szCs w:val="21"/>
        </w:rPr>
      </w:pPr>
      <w:bookmarkStart w:id="38" w:name="_Toc20386"/>
      <w:bookmarkStart w:id="39" w:name="_Toc11417"/>
      <w:bookmarkStart w:id="40" w:name="_Toc14151"/>
      <w:r>
        <w:rPr>
          <w:rFonts w:hint="eastAsia" w:ascii="宋体" w:hAnsi="宋体" w:eastAsia="宋体" w:cs="宋体"/>
          <w:b/>
          <w:bCs/>
          <w:color w:val="auto"/>
          <w:sz w:val="21"/>
          <w:szCs w:val="21"/>
        </w:rPr>
        <w:t>8.3 数据分配</w:t>
      </w:r>
      <w:bookmarkEnd w:id="38"/>
      <w:bookmarkEnd w:id="39"/>
      <w:bookmarkEnd w:id="40"/>
    </w:p>
    <w:p w14:paraId="1854754A">
      <w:pPr>
        <w:pStyle w:val="12"/>
        <w:rPr>
          <w:rFonts w:ascii="仿宋" w:hAnsi="仿宋" w:eastAsia="仿宋" w:cs="仿宋"/>
          <w:kern w:val="0"/>
          <w:szCs w:val="21"/>
        </w:rPr>
      </w:pPr>
      <w:r>
        <w:rPr>
          <w:rFonts w:hint="eastAsia" w:ascii="仿宋" w:hAnsi="仿宋" w:eastAsia="仿宋" w:cs="仿宋"/>
          <w:kern w:val="0"/>
          <w:szCs w:val="21"/>
        </w:rPr>
        <w:t>在边界设置或数据收集时，避免进行数据分配。若发现一个过程的输入和输出包含多个产品，则总排放量需要对该过程分配。分配的原则如下：</w:t>
      </w:r>
    </w:p>
    <w:p w14:paraId="0F5AFE9F">
      <w:pPr>
        <w:pStyle w:val="12"/>
        <w:rPr>
          <w:rFonts w:ascii="仿宋" w:hAnsi="仿宋" w:eastAsia="仿宋" w:cs="仿宋"/>
          <w:kern w:val="0"/>
          <w:szCs w:val="21"/>
        </w:rPr>
      </w:pPr>
      <w:r>
        <w:rPr>
          <w:rFonts w:hint="eastAsia" w:ascii="仿宋" w:hAnsi="仿宋" w:eastAsia="仿宋" w:cs="仿宋"/>
          <w:kern w:val="0"/>
          <w:szCs w:val="21"/>
        </w:rPr>
        <w:t>a）优先使用物理关系参数(包括但不限于生产量、生产工时等)进行分配；</w:t>
      </w:r>
    </w:p>
    <w:p w14:paraId="658C9DEE">
      <w:pPr>
        <w:pStyle w:val="12"/>
        <w:rPr>
          <w:rFonts w:ascii="仿宋" w:hAnsi="仿宋" w:eastAsia="仿宋" w:cs="仿宋"/>
          <w:kern w:val="0"/>
          <w:szCs w:val="21"/>
        </w:rPr>
      </w:pPr>
      <w:r>
        <w:rPr>
          <w:rFonts w:hint="eastAsia" w:ascii="仿宋" w:hAnsi="仿宋" w:eastAsia="仿宋" w:cs="仿宋"/>
          <w:kern w:val="0"/>
          <w:szCs w:val="21"/>
        </w:rPr>
        <w:t>b）无法找到物理关系时,则依经济价值进行分配；</w:t>
      </w:r>
    </w:p>
    <w:p w14:paraId="3123AEAC">
      <w:pPr>
        <w:pStyle w:val="12"/>
        <w:rPr>
          <w:rFonts w:ascii="仿宋" w:hAnsi="仿宋" w:eastAsia="仿宋" w:cs="仿宋"/>
          <w:kern w:val="0"/>
          <w:szCs w:val="21"/>
        </w:rPr>
      </w:pPr>
      <w:r>
        <w:rPr>
          <w:rFonts w:hint="eastAsia" w:ascii="仿宋" w:hAnsi="仿宋" w:eastAsia="仿宋" w:cs="仿宋"/>
          <w:kern w:val="0"/>
          <w:szCs w:val="21"/>
        </w:rPr>
        <w:t>c）若使用其他分配方法，需提供所使用参数的基础及计算说明。</w:t>
      </w:r>
    </w:p>
    <w:p w14:paraId="25CEBD90">
      <w:pPr>
        <w:pStyle w:val="4"/>
        <w:keepNext w:val="0"/>
        <w:keepLines w:val="0"/>
        <w:widowControl/>
        <w:spacing w:before="0" w:after="0" w:line="400" w:lineRule="exact"/>
        <w:jc w:val="left"/>
        <w:rPr>
          <w:rFonts w:ascii="宋体" w:hAnsi="宋体" w:eastAsia="宋体" w:cs="宋体"/>
          <w:b/>
          <w:bCs/>
          <w:color w:val="auto"/>
          <w:sz w:val="21"/>
          <w:szCs w:val="21"/>
        </w:rPr>
      </w:pPr>
      <w:bookmarkStart w:id="41" w:name="_Toc24235"/>
      <w:r>
        <w:rPr>
          <w:rFonts w:hint="eastAsia" w:ascii="宋体" w:hAnsi="宋体" w:eastAsia="宋体" w:cs="宋体"/>
          <w:b/>
          <w:bCs/>
          <w:color w:val="auto"/>
          <w:sz w:val="21"/>
          <w:szCs w:val="21"/>
        </w:rPr>
        <w:t>8.4数据取舍原则</w:t>
      </w:r>
      <w:bookmarkEnd w:id="41"/>
    </w:p>
    <w:p w14:paraId="553CEBCF">
      <w:pPr>
        <w:pStyle w:val="12"/>
        <w:rPr>
          <w:rFonts w:ascii="仿宋" w:hAnsi="仿宋" w:eastAsia="仿宋" w:cs="仿宋"/>
          <w:kern w:val="0"/>
          <w:szCs w:val="21"/>
        </w:rPr>
      </w:pPr>
      <w:r>
        <w:rPr>
          <w:rFonts w:hint="eastAsia" w:ascii="仿宋" w:hAnsi="仿宋" w:eastAsia="仿宋" w:cs="仿宋"/>
          <w:kern w:val="0"/>
          <w:szCs w:val="21"/>
        </w:rPr>
        <w:t>采用的取舍规则以各项原材料投入占产品重量或过程总投入的重量比为依据。具体规则如下：</w:t>
      </w:r>
    </w:p>
    <w:p w14:paraId="009E3FD2">
      <w:pPr>
        <w:pStyle w:val="12"/>
        <w:rPr>
          <w:rFonts w:ascii="仿宋" w:hAnsi="仿宋" w:eastAsia="仿宋" w:cs="仿宋"/>
          <w:kern w:val="0"/>
          <w:szCs w:val="21"/>
        </w:rPr>
      </w:pPr>
      <w:r>
        <w:rPr>
          <w:rFonts w:hint="eastAsia" w:ascii="仿宋" w:hAnsi="仿宋" w:eastAsia="仿宋" w:cs="仿宋"/>
          <w:kern w:val="0"/>
          <w:szCs w:val="21"/>
        </w:rPr>
        <w:t>普通物料重量＜1%产品重量时，以及含稀贵或高纯成分的物料重量＜0.1%产品重量时，可忽略该物料的上游生产数据；总共忽略的物料重量不超过 5%；</w:t>
      </w:r>
    </w:p>
    <w:p w14:paraId="65E5C476">
      <w:pPr>
        <w:pStyle w:val="12"/>
        <w:rPr>
          <w:rFonts w:ascii="仿宋" w:hAnsi="仿宋" w:eastAsia="仿宋" w:cs="仿宋"/>
          <w:kern w:val="0"/>
          <w:szCs w:val="21"/>
        </w:rPr>
      </w:pPr>
      <w:r>
        <w:rPr>
          <w:rFonts w:hint="eastAsia" w:ascii="仿宋" w:hAnsi="仿宋" w:eastAsia="仿宋" w:cs="仿宋"/>
          <w:kern w:val="0"/>
          <w:szCs w:val="21"/>
        </w:rPr>
        <w:t>低价值废物作为原料，如粉煤灰、矿渣、秸秆、生活垃圾等，可忽略其上游生产数据；</w:t>
      </w:r>
    </w:p>
    <w:p w14:paraId="4E202666">
      <w:pPr>
        <w:pStyle w:val="12"/>
        <w:rPr>
          <w:rFonts w:ascii="仿宋" w:hAnsi="仿宋" w:eastAsia="仿宋" w:cs="仿宋"/>
          <w:kern w:val="0"/>
          <w:szCs w:val="21"/>
        </w:rPr>
      </w:pPr>
      <w:r>
        <w:rPr>
          <w:rFonts w:hint="eastAsia" w:ascii="仿宋" w:hAnsi="仿宋" w:eastAsia="仿宋" w:cs="仿宋"/>
          <w:kern w:val="0"/>
          <w:szCs w:val="21"/>
        </w:rPr>
        <w:t>大多数情况下，生产设备、厂房、生活设施等可以忽略；</w:t>
      </w:r>
    </w:p>
    <w:p w14:paraId="3039BF66">
      <w:pPr>
        <w:pStyle w:val="12"/>
        <w:rPr>
          <w:rFonts w:ascii="仿宋" w:hAnsi="仿宋" w:eastAsia="仿宋" w:cs="仿宋"/>
          <w:kern w:val="0"/>
          <w:szCs w:val="21"/>
        </w:rPr>
      </w:pPr>
      <w:r>
        <w:rPr>
          <w:rFonts w:hint="eastAsia" w:ascii="仿宋" w:hAnsi="仿宋" w:eastAsia="仿宋" w:cs="仿宋"/>
          <w:kern w:val="0"/>
          <w:szCs w:val="21"/>
        </w:rPr>
        <w:t>在选定环境影响类型范围内的已知排放数据不应忽略。</w:t>
      </w:r>
    </w:p>
    <w:p w14:paraId="1AB7FCAE">
      <w:pPr>
        <w:pStyle w:val="4"/>
        <w:keepNext w:val="0"/>
        <w:keepLines w:val="0"/>
        <w:widowControl/>
        <w:spacing w:before="0" w:after="0" w:line="400" w:lineRule="exact"/>
        <w:jc w:val="left"/>
        <w:rPr>
          <w:rFonts w:ascii="宋体" w:hAnsi="宋体" w:eastAsia="宋体" w:cs="宋体"/>
          <w:b/>
          <w:bCs/>
          <w:color w:val="auto"/>
          <w:sz w:val="21"/>
          <w:szCs w:val="21"/>
        </w:rPr>
      </w:pPr>
      <w:bookmarkStart w:id="42" w:name="_Toc2900"/>
      <w:r>
        <w:rPr>
          <w:rFonts w:hint="eastAsia" w:ascii="宋体" w:hAnsi="宋体" w:eastAsia="宋体" w:cs="宋体"/>
          <w:b/>
          <w:bCs/>
          <w:color w:val="auto"/>
          <w:sz w:val="21"/>
          <w:szCs w:val="21"/>
        </w:rPr>
        <w:t>8.5清单计算</w:t>
      </w:r>
      <w:bookmarkEnd w:id="42"/>
    </w:p>
    <w:p w14:paraId="6D4A57C7">
      <w:pPr>
        <w:pStyle w:val="12"/>
        <w:rPr>
          <w:rFonts w:ascii="仿宋" w:hAnsi="仿宋" w:eastAsia="仿宋" w:cs="仿宋"/>
          <w:kern w:val="0"/>
          <w:szCs w:val="21"/>
        </w:rPr>
      </w:pPr>
      <w:r>
        <w:rPr>
          <w:rFonts w:hint="eastAsia" w:ascii="仿宋" w:hAnsi="仿宋" w:eastAsia="仿宋" w:cs="仿宋"/>
          <w:kern w:val="0"/>
          <w:szCs w:val="21"/>
        </w:rPr>
        <w:t>开展煤矸石制微晶玻璃碳足迹核算应按照以下基本步骤：</w:t>
      </w:r>
    </w:p>
    <w:p w14:paraId="14591A94">
      <w:pPr>
        <w:pStyle w:val="12"/>
        <w:rPr>
          <w:rFonts w:ascii="仿宋" w:hAnsi="仿宋" w:eastAsia="仿宋" w:cs="仿宋"/>
          <w:kern w:val="0"/>
          <w:szCs w:val="21"/>
        </w:rPr>
      </w:pPr>
      <w:r>
        <w:rPr>
          <w:rFonts w:hint="eastAsia" w:ascii="仿宋" w:hAnsi="仿宋" w:eastAsia="仿宋" w:cs="仿宋"/>
          <w:kern w:val="0"/>
          <w:szCs w:val="21"/>
        </w:rPr>
        <w:t>a）确定系统边界、GHG产生阶段和功能单位；</w:t>
      </w:r>
    </w:p>
    <w:p w14:paraId="515241CF">
      <w:pPr>
        <w:pStyle w:val="12"/>
        <w:rPr>
          <w:rFonts w:ascii="仿宋" w:hAnsi="仿宋" w:eastAsia="仿宋" w:cs="仿宋"/>
          <w:kern w:val="0"/>
          <w:szCs w:val="21"/>
        </w:rPr>
      </w:pPr>
      <w:r>
        <w:rPr>
          <w:rFonts w:hint="eastAsia" w:ascii="仿宋" w:hAnsi="仿宋" w:eastAsia="仿宋" w:cs="仿宋"/>
          <w:kern w:val="0"/>
          <w:szCs w:val="21"/>
        </w:rPr>
        <w:t>b）选择和收集系统边界内各单元过程的定性活动信息和定量活动数据；</w:t>
      </w:r>
    </w:p>
    <w:p w14:paraId="0C0ED013">
      <w:pPr>
        <w:pStyle w:val="12"/>
        <w:rPr>
          <w:rFonts w:ascii="仿宋" w:hAnsi="仿宋" w:eastAsia="仿宋" w:cs="仿宋"/>
          <w:kern w:val="0"/>
          <w:szCs w:val="21"/>
        </w:rPr>
      </w:pPr>
      <w:r>
        <w:rPr>
          <w:rFonts w:hint="eastAsia" w:ascii="仿宋" w:hAnsi="仿宋" w:eastAsia="仿宋" w:cs="仿宋"/>
          <w:kern w:val="0"/>
          <w:szCs w:val="21"/>
        </w:rPr>
        <w:t>c）选择和获取排放因子数据；</w:t>
      </w:r>
    </w:p>
    <w:p w14:paraId="054936D8">
      <w:pPr>
        <w:pStyle w:val="12"/>
        <w:rPr>
          <w:rFonts w:ascii="仿宋" w:hAnsi="仿宋" w:eastAsia="仿宋" w:cs="仿宋"/>
          <w:kern w:val="0"/>
          <w:szCs w:val="21"/>
        </w:rPr>
      </w:pPr>
      <w:r>
        <w:rPr>
          <w:rFonts w:hint="eastAsia" w:ascii="仿宋" w:hAnsi="仿宋" w:eastAsia="仿宋" w:cs="仿宋"/>
          <w:kern w:val="0"/>
          <w:szCs w:val="21"/>
        </w:rPr>
        <w:t>d）计算各单元过程的GHG排放量和清除量；</w:t>
      </w:r>
    </w:p>
    <w:p w14:paraId="28456278">
      <w:pPr>
        <w:pStyle w:val="12"/>
        <w:rPr>
          <w:rFonts w:ascii="仿宋" w:hAnsi="仿宋" w:eastAsia="仿宋" w:cs="仿宋"/>
          <w:kern w:val="0"/>
          <w:szCs w:val="21"/>
        </w:rPr>
      </w:pPr>
      <w:r>
        <w:rPr>
          <w:rFonts w:hint="eastAsia" w:ascii="仿宋" w:hAnsi="仿宋" w:eastAsia="仿宋" w:cs="仿宋"/>
          <w:kern w:val="0"/>
          <w:szCs w:val="21"/>
        </w:rPr>
        <w:t>e）确定分配方法；</w:t>
      </w:r>
    </w:p>
    <w:p w14:paraId="3F6EF471">
      <w:pPr>
        <w:pStyle w:val="12"/>
        <w:rPr>
          <w:rFonts w:ascii="仿宋" w:hAnsi="仿宋" w:eastAsia="仿宋" w:cs="仿宋"/>
          <w:kern w:val="0"/>
          <w:szCs w:val="21"/>
        </w:rPr>
      </w:pPr>
      <w:r>
        <w:rPr>
          <w:rFonts w:hint="eastAsia" w:ascii="仿宋" w:hAnsi="仿宋" w:eastAsia="仿宋" w:cs="仿宋"/>
          <w:kern w:val="0"/>
          <w:szCs w:val="21"/>
        </w:rPr>
        <w:t>f）计算系统边界内煤矸石制微晶玻璃碳足迹。</w:t>
      </w:r>
    </w:p>
    <w:p w14:paraId="296B3870">
      <w:pPr>
        <w:pStyle w:val="3"/>
        <w:spacing w:before="80"/>
        <w:rPr>
          <w:rFonts w:ascii="宋体" w:hAnsi="宋体" w:eastAsia="宋体" w:cs="宋体"/>
          <w:b/>
          <w:bCs/>
          <w:color w:val="auto"/>
          <w:sz w:val="21"/>
          <w:szCs w:val="21"/>
        </w:rPr>
      </w:pPr>
      <w:bookmarkStart w:id="43" w:name="_Toc4141"/>
      <w:bookmarkStart w:id="44" w:name="_Toc8557"/>
      <w:bookmarkStart w:id="45" w:name="_Toc4660"/>
      <w:r>
        <w:rPr>
          <w:rFonts w:hint="eastAsia" w:ascii="宋体" w:hAnsi="宋体" w:eastAsia="宋体" w:cs="宋体"/>
          <w:b/>
          <w:bCs/>
          <w:color w:val="auto"/>
          <w:sz w:val="21"/>
          <w:szCs w:val="21"/>
        </w:rPr>
        <w:t>9 影响评价</w:t>
      </w:r>
      <w:bookmarkEnd w:id="43"/>
    </w:p>
    <w:p w14:paraId="6E2079DE">
      <w:pPr>
        <w:pStyle w:val="4"/>
        <w:spacing w:before="80"/>
        <w:rPr>
          <w:rFonts w:ascii="宋体" w:hAnsi="宋体" w:eastAsia="宋体" w:cs="宋体"/>
          <w:b/>
          <w:bCs/>
          <w:color w:val="auto"/>
          <w:sz w:val="21"/>
          <w:szCs w:val="21"/>
        </w:rPr>
      </w:pPr>
      <w:bookmarkStart w:id="46" w:name="_Toc9937"/>
      <w:r>
        <w:rPr>
          <w:rFonts w:hint="eastAsia" w:ascii="宋体" w:hAnsi="宋体" w:eastAsia="宋体" w:cs="宋体"/>
          <w:b/>
          <w:bCs/>
          <w:color w:val="auto"/>
          <w:sz w:val="21"/>
          <w:szCs w:val="21"/>
        </w:rPr>
        <w:t>9.1生产单元过程</w:t>
      </w:r>
      <w:bookmarkEnd w:id="46"/>
    </w:p>
    <w:p w14:paraId="37C03FB0">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本标准的单元过程如图2所示。</w:t>
      </w:r>
    </w:p>
    <w:p w14:paraId="7BF04630">
      <w:pPr>
        <w:jc w:val="center"/>
        <w:rPr>
          <w:rFonts w:ascii="Times New Roman" w:hAnsi="Times New Roman" w:cs="Times New Roman"/>
          <w:sz w:val="24"/>
          <w:szCs w:val="24"/>
        </w:rPr>
      </w:pPr>
      <w:r>
        <w:rPr>
          <w:rFonts w:ascii="Times New Roman" w:hAnsi="Times New Roman" w:cs="Times New Roman"/>
          <w:sz w:val="24"/>
          <w:szCs w:val="24"/>
        </w:rPr>
        <w:drawing>
          <wp:inline distT="0" distB="0" distL="114300" distR="114300">
            <wp:extent cx="4159885" cy="3503930"/>
            <wp:effectExtent l="0" t="0" r="12065" b="127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9"/>
                    <a:stretch>
                      <a:fillRect/>
                    </a:stretch>
                  </pic:blipFill>
                  <pic:spPr>
                    <a:xfrm>
                      <a:off x="0" y="0"/>
                      <a:ext cx="4159885" cy="3503930"/>
                    </a:xfrm>
                    <a:prstGeom prst="rect">
                      <a:avLst/>
                    </a:prstGeom>
                    <a:noFill/>
                    <a:ln>
                      <a:noFill/>
                    </a:ln>
                  </pic:spPr>
                </pic:pic>
              </a:graphicData>
            </a:graphic>
          </wp:inline>
        </w:drawing>
      </w:r>
    </w:p>
    <w:p w14:paraId="20B7EFFF">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图2煤矸石制微晶玻璃单元过程</w:t>
      </w:r>
    </w:p>
    <w:p w14:paraId="02E81465">
      <w:pPr>
        <w:jc w:val="left"/>
        <w:rPr>
          <w:rFonts w:ascii="仿宋" w:hAnsi="仿宋" w:eastAsia="仿宋" w:cs="仿宋"/>
          <w:kern w:val="0"/>
          <w:szCs w:val="21"/>
        </w:rPr>
      </w:pPr>
      <w:r>
        <w:rPr>
          <w:rFonts w:hint="eastAsia" w:ascii="仿宋" w:hAnsi="仿宋" w:eastAsia="仿宋" w:cs="仿宋"/>
          <w:kern w:val="0"/>
          <w:szCs w:val="21"/>
        </w:rPr>
        <w:t>本标准的单元过程包含：</w:t>
      </w:r>
    </w:p>
    <w:p w14:paraId="1488C120">
      <w:pPr>
        <w:jc w:val="left"/>
        <w:rPr>
          <w:rFonts w:ascii="仿宋" w:hAnsi="仿宋" w:eastAsia="仿宋" w:cs="仿宋"/>
          <w:kern w:val="0"/>
          <w:szCs w:val="21"/>
        </w:rPr>
      </w:pPr>
      <w:r>
        <w:rPr>
          <w:rFonts w:hint="eastAsia" w:ascii="仿宋" w:hAnsi="仿宋" w:eastAsia="仿宋" w:cs="仿宋"/>
          <w:kern w:val="0"/>
          <w:szCs w:val="21"/>
        </w:rPr>
        <w:t>（1）电力、柴油能源的生产过程，包括能源开采、输送及泄露过程；</w:t>
      </w:r>
    </w:p>
    <w:p w14:paraId="2F73853D">
      <w:pPr>
        <w:jc w:val="left"/>
        <w:rPr>
          <w:rFonts w:ascii="仿宋" w:hAnsi="仿宋" w:eastAsia="仿宋" w:cs="仿宋"/>
          <w:kern w:val="0"/>
          <w:szCs w:val="21"/>
        </w:rPr>
      </w:pPr>
      <w:r>
        <w:rPr>
          <w:rFonts w:hint="eastAsia" w:ascii="仿宋" w:hAnsi="仿宋" w:eastAsia="仿宋" w:cs="仿宋"/>
          <w:kern w:val="0"/>
          <w:szCs w:val="21"/>
        </w:rPr>
        <w:t>（2）煤矸石、石英砂、氟硅酸钠、纯碱及水等的生产（开采）及运输过程；</w:t>
      </w:r>
    </w:p>
    <w:p w14:paraId="44706282">
      <w:pPr>
        <w:jc w:val="left"/>
        <w:rPr>
          <w:rFonts w:ascii="仿宋" w:hAnsi="仿宋" w:eastAsia="仿宋" w:cs="仿宋"/>
          <w:kern w:val="0"/>
          <w:szCs w:val="21"/>
        </w:rPr>
      </w:pPr>
      <w:r>
        <w:rPr>
          <w:rFonts w:hint="eastAsia" w:ascii="仿宋" w:hAnsi="仿宋" w:eastAsia="仿宋" w:cs="仿宋"/>
          <w:kern w:val="0"/>
          <w:szCs w:val="21"/>
        </w:rPr>
        <w:t>（3）煤矸石制微晶玻璃生产制造过程，包括车间内部运输、生产制造、暂时储存及包装过程。</w:t>
      </w:r>
    </w:p>
    <w:p w14:paraId="65D0A4BD">
      <w:pPr>
        <w:pStyle w:val="4"/>
        <w:spacing w:before="80"/>
        <w:rPr>
          <w:rFonts w:ascii="宋体" w:hAnsi="宋体" w:eastAsia="宋体" w:cs="宋体"/>
          <w:b/>
          <w:bCs/>
          <w:color w:val="auto"/>
          <w:sz w:val="21"/>
          <w:szCs w:val="21"/>
        </w:rPr>
      </w:pPr>
      <w:bookmarkStart w:id="47" w:name="_Toc21583"/>
      <w:bookmarkStart w:id="48" w:name="_Toc19107"/>
      <w:bookmarkStart w:id="49" w:name="_Toc25161"/>
      <w:r>
        <w:rPr>
          <w:rFonts w:hint="eastAsia" w:ascii="宋体" w:hAnsi="宋体" w:eastAsia="宋体" w:cs="宋体"/>
          <w:b/>
          <w:bCs/>
          <w:color w:val="auto"/>
          <w:sz w:val="21"/>
          <w:szCs w:val="21"/>
        </w:rPr>
        <w:t xml:space="preserve">9.2 </w:t>
      </w:r>
      <w:bookmarkEnd w:id="47"/>
      <w:bookmarkEnd w:id="48"/>
      <w:r>
        <w:rPr>
          <w:rFonts w:hint="eastAsia" w:ascii="宋体" w:hAnsi="宋体" w:eastAsia="宋体" w:cs="宋体"/>
          <w:b/>
          <w:bCs/>
          <w:color w:val="auto"/>
          <w:sz w:val="21"/>
          <w:szCs w:val="21"/>
        </w:rPr>
        <w:t>原材料获取阶段的温室气体排放量</w:t>
      </w:r>
      <w:bookmarkEnd w:id="49"/>
    </w:p>
    <w:p w14:paraId="33F0BDED">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原材料获取阶段碳足迹计算方法见公式（2）：</w:t>
      </w:r>
    </w:p>
    <w:p w14:paraId="07AEE5ED">
      <w:pPr>
        <w:tabs>
          <w:tab w:val="left" w:pos="7513"/>
        </w:tabs>
        <w:spacing w:line="400" w:lineRule="exact"/>
        <w:jc w:val="center"/>
        <w:rPr>
          <w:rFonts w:ascii="仿宋" w:hAnsi="仿宋" w:eastAsia="仿宋" w:cs="仿宋"/>
          <w:b/>
          <w:bCs/>
        </w:rPr>
      </w:pPr>
      <w:r>
        <w:rPr>
          <w:rFonts w:hint="eastAsia" w:ascii="仿宋" w:hAnsi="仿宋" w:eastAsia="仿宋" w:cs="仿宋"/>
          <w:position w:val="-16"/>
        </w:rPr>
        <w:object>
          <v:shape id="_x0000_i1025" o:spt="75" type="#_x0000_t75" style="height:23.2pt;width:305.7pt;" o:ole="t" filled="f" o:preferrelative="t" stroked="f" coordsize="21600,21600">
            <v:path/>
            <v:fill on="f" focussize="0,0"/>
            <v:stroke on="f" joinstyle="miter"/>
            <v:imagedata r:id="rId11" o:title=""/>
            <o:lock v:ext="edit" aspectratio="t"/>
            <w10:wrap type="none"/>
            <w10:anchorlock/>
          </v:shape>
          <o:OLEObject Type="Embed" ProgID="Equation.DSMT4" ShapeID="_x0000_i1025" DrawAspect="Content" ObjectID="_1468075725" r:id="rId10">
            <o:LockedField>false</o:LockedField>
          </o:OLEObject>
        </w:object>
      </w:r>
      <w:r>
        <w:rPr>
          <w:rFonts w:hint="eastAsia" w:ascii="仿宋" w:hAnsi="仿宋" w:eastAsia="仿宋" w:cs="仿宋"/>
        </w:rPr>
        <w:t xml:space="preserve">  （2）</w:t>
      </w:r>
    </w:p>
    <w:p w14:paraId="6ACAC462">
      <w:pPr>
        <w:spacing w:line="400" w:lineRule="exact"/>
        <w:rPr>
          <w:rFonts w:ascii="仿宋" w:hAnsi="仿宋" w:eastAsia="仿宋" w:cs="仿宋"/>
          <w:kern w:val="0"/>
          <w:szCs w:val="21"/>
        </w:rPr>
      </w:pPr>
      <w:r>
        <w:rPr>
          <w:rFonts w:hint="eastAsia" w:ascii="仿宋" w:hAnsi="仿宋" w:eastAsia="仿宋" w:cs="仿宋"/>
          <w:kern w:val="0"/>
          <w:szCs w:val="21"/>
        </w:rPr>
        <w:t>式中：</w:t>
      </w:r>
    </w:p>
    <w:p w14:paraId="15CB4CFE">
      <w:pPr>
        <w:spacing w:line="400" w:lineRule="exact"/>
        <w:rPr>
          <w:rFonts w:ascii="仿宋" w:hAnsi="仿宋" w:eastAsia="仿宋" w:cs="仿宋"/>
        </w:rPr>
      </w:pPr>
      <w:r>
        <w:rPr>
          <w:rFonts w:hint="eastAsia" w:ascii="仿宋" w:hAnsi="仿宋" w:eastAsia="仿宋" w:cs="仿宋"/>
          <w:i/>
          <w:iCs/>
        </w:rPr>
        <w:t>AD</w:t>
      </w:r>
      <w:r>
        <w:rPr>
          <w:rFonts w:hint="eastAsia" w:ascii="仿宋" w:hAnsi="仿宋" w:eastAsia="仿宋" w:cs="仿宋"/>
          <w:i/>
          <w:iCs/>
          <w:vertAlign w:val="subscript"/>
        </w:rPr>
        <w:t>RM,i</w:t>
      </w:r>
      <w:r>
        <w:rPr>
          <w:rFonts w:hint="eastAsia" w:ascii="仿宋" w:hAnsi="仿宋" w:eastAsia="仿宋" w:cs="仿宋"/>
          <w:i/>
          <w:iCs/>
        </w:rPr>
        <w:t>——</w:t>
      </w:r>
      <w:r>
        <w:rPr>
          <w:rFonts w:hint="eastAsia" w:ascii="仿宋" w:hAnsi="仿宋" w:eastAsia="仿宋" w:cs="仿宋"/>
          <w:kern w:val="0"/>
          <w:szCs w:val="21"/>
        </w:rPr>
        <w:t>第i种原材料消耗量，单位与原材料相匹配</w:t>
      </w:r>
      <w:r>
        <w:rPr>
          <w:rFonts w:hint="eastAsia" w:ascii="仿宋" w:hAnsi="仿宋" w:eastAsia="仿宋" w:cs="仿宋"/>
        </w:rPr>
        <w:t>；</w:t>
      </w:r>
    </w:p>
    <w:p w14:paraId="050B6631">
      <w:pPr>
        <w:spacing w:line="400" w:lineRule="exact"/>
        <w:rPr>
          <w:rFonts w:ascii="仿宋" w:hAnsi="仿宋" w:eastAsia="仿宋" w:cs="仿宋"/>
        </w:rPr>
      </w:pPr>
      <w:r>
        <w:rPr>
          <w:rFonts w:hint="eastAsia" w:ascii="仿宋" w:hAnsi="仿宋" w:eastAsia="仿宋" w:cs="仿宋"/>
          <w:i/>
          <w:iCs/>
        </w:rPr>
        <w:t>EF</w:t>
      </w:r>
      <w:r>
        <w:rPr>
          <w:rFonts w:hint="eastAsia" w:ascii="仿宋" w:hAnsi="仿宋" w:eastAsia="仿宋" w:cs="仿宋"/>
          <w:i/>
          <w:iCs/>
          <w:vertAlign w:val="subscript"/>
        </w:rPr>
        <w:t>RM,i</w:t>
      </w:r>
      <w:r>
        <w:rPr>
          <w:rFonts w:hint="eastAsia" w:ascii="仿宋" w:hAnsi="仿宋" w:eastAsia="仿宋" w:cs="仿宋"/>
          <w:i/>
          <w:iCs/>
        </w:rPr>
        <w:t>——</w:t>
      </w:r>
      <w:r>
        <w:rPr>
          <w:rFonts w:hint="eastAsia" w:ascii="仿宋" w:hAnsi="仿宋" w:eastAsia="仿宋" w:cs="仿宋"/>
          <w:kern w:val="0"/>
          <w:szCs w:val="21"/>
        </w:rPr>
        <w:t>第i种原材料的碳足迹因子，单位与原材料相匹配</w:t>
      </w:r>
      <w:r>
        <w:rPr>
          <w:rFonts w:hint="eastAsia" w:ascii="仿宋" w:hAnsi="仿宋" w:eastAsia="仿宋" w:cs="仿宋"/>
        </w:rPr>
        <w:t>；</w:t>
      </w:r>
    </w:p>
    <w:p w14:paraId="45F5838B">
      <w:pPr>
        <w:spacing w:line="400" w:lineRule="exact"/>
        <w:rPr>
          <w:rFonts w:ascii="仿宋" w:hAnsi="仿宋" w:eastAsia="仿宋" w:cs="仿宋"/>
        </w:rPr>
      </w:pPr>
      <w:r>
        <w:rPr>
          <w:rFonts w:hint="eastAsia" w:ascii="仿宋" w:hAnsi="仿宋" w:eastAsia="仿宋" w:cs="仿宋"/>
          <w:i/>
          <w:iCs/>
        </w:rPr>
        <w:t>AD</w:t>
      </w:r>
      <w:r>
        <w:rPr>
          <w:rFonts w:hint="eastAsia" w:ascii="仿宋" w:hAnsi="仿宋" w:eastAsia="仿宋" w:cs="仿宋"/>
          <w:i/>
          <w:iCs/>
          <w:vertAlign w:val="subscript"/>
        </w:rPr>
        <w:t>RM,trans,i</w:t>
      </w:r>
      <w:r>
        <w:rPr>
          <w:rFonts w:hint="eastAsia" w:ascii="仿宋" w:hAnsi="仿宋" w:eastAsia="仿宋" w:cs="仿宋"/>
          <w:i/>
          <w:iCs/>
        </w:rPr>
        <w:t>——</w:t>
      </w:r>
      <w:r>
        <w:rPr>
          <w:rFonts w:hint="eastAsia" w:ascii="仿宋" w:hAnsi="仿宋" w:eastAsia="仿宋" w:cs="仿宋"/>
          <w:kern w:val="0"/>
          <w:szCs w:val="21"/>
        </w:rPr>
        <w:t>第i种原材料的运输数据，单位与运输</w:t>
      </w:r>
      <w:bookmarkStart w:id="50" w:name="_Hlk202513038"/>
      <w:r>
        <w:rPr>
          <w:rFonts w:hint="eastAsia" w:ascii="仿宋" w:hAnsi="仿宋" w:eastAsia="仿宋" w:cs="仿宋"/>
          <w:kern w:val="0"/>
          <w:szCs w:val="21"/>
        </w:rPr>
        <w:t>环节相匹配</w:t>
      </w:r>
      <w:bookmarkEnd w:id="50"/>
      <w:r>
        <w:rPr>
          <w:rFonts w:hint="eastAsia" w:ascii="仿宋" w:hAnsi="仿宋" w:eastAsia="仿宋" w:cs="仿宋"/>
        </w:rPr>
        <w:t>；</w:t>
      </w:r>
    </w:p>
    <w:p w14:paraId="0D767CF7">
      <w:pPr>
        <w:spacing w:line="400" w:lineRule="exact"/>
        <w:rPr>
          <w:rFonts w:ascii="仿宋" w:hAnsi="仿宋" w:eastAsia="仿宋" w:cs="仿宋"/>
        </w:rPr>
      </w:pPr>
      <w:r>
        <w:rPr>
          <w:rFonts w:hint="eastAsia" w:ascii="仿宋" w:hAnsi="仿宋" w:eastAsia="仿宋" w:cs="仿宋"/>
          <w:i/>
          <w:iCs/>
        </w:rPr>
        <w:t>EF</w:t>
      </w:r>
      <w:r>
        <w:rPr>
          <w:rFonts w:hint="eastAsia" w:ascii="仿宋" w:hAnsi="仿宋" w:eastAsia="仿宋" w:cs="仿宋"/>
          <w:i/>
          <w:iCs/>
          <w:vertAlign w:val="subscript"/>
        </w:rPr>
        <w:t>RM,trans,i</w:t>
      </w:r>
      <w:r>
        <w:rPr>
          <w:rFonts w:hint="eastAsia" w:ascii="仿宋" w:hAnsi="仿宋" w:eastAsia="仿宋" w:cs="仿宋"/>
          <w:i/>
          <w:iCs/>
        </w:rPr>
        <w:t>——</w:t>
      </w:r>
      <w:r>
        <w:rPr>
          <w:rFonts w:hint="eastAsia" w:ascii="仿宋" w:hAnsi="仿宋" w:eastAsia="仿宋" w:cs="仿宋"/>
          <w:kern w:val="0"/>
          <w:szCs w:val="21"/>
        </w:rPr>
        <w:t>第i种原材料运输环节碳足迹因子，单位与运输环节相匹配</w:t>
      </w:r>
      <w:r>
        <w:rPr>
          <w:rFonts w:hint="eastAsia" w:ascii="仿宋" w:hAnsi="仿宋" w:eastAsia="仿宋" w:cs="仿宋"/>
        </w:rPr>
        <w:t>。</w:t>
      </w:r>
    </w:p>
    <w:p w14:paraId="6B3BBD0F">
      <w:pPr>
        <w:pStyle w:val="4"/>
        <w:spacing w:before="80"/>
        <w:rPr>
          <w:rFonts w:ascii="宋体" w:hAnsi="宋体" w:eastAsia="宋体" w:cs="宋体"/>
          <w:b/>
          <w:bCs/>
          <w:color w:val="auto"/>
          <w:sz w:val="21"/>
          <w:szCs w:val="21"/>
        </w:rPr>
      </w:pPr>
      <w:bookmarkStart w:id="51" w:name="_Toc9447"/>
      <w:r>
        <w:rPr>
          <w:rFonts w:hint="eastAsia" w:ascii="宋体" w:hAnsi="宋体" w:eastAsia="宋体" w:cs="宋体"/>
          <w:b/>
          <w:bCs/>
          <w:color w:val="auto"/>
          <w:sz w:val="21"/>
          <w:szCs w:val="21"/>
        </w:rPr>
        <w:t>9.3 煤矸石制微晶玻璃生产阶段的温室气体排放量</w:t>
      </w:r>
      <w:bookmarkEnd w:id="51"/>
    </w:p>
    <w:p w14:paraId="53C19ED0">
      <w:pPr>
        <w:spacing w:line="400" w:lineRule="exact"/>
        <w:rPr>
          <w:rFonts w:ascii="仿宋" w:hAnsi="仿宋" w:eastAsia="仿宋" w:cs="仿宋"/>
        </w:rPr>
      </w:pPr>
      <w:r>
        <w:rPr>
          <w:rFonts w:hint="eastAsia" w:ascii="仿宋" w:hAnsi="仿宋" w:eastAsia="仿宋" w:cs="仿宋"/>
        </w:rPr>
        <w:t>9.3.1 通则</w:t>
      </w:r>
    </w:p>
    <w:p w14:paraId="235B264A">
      <w:pPr>
        <w:spacing w:line="400" w:lineRule="exact"/>
        <w:ind w:firstLine="420" w:firstLineChars="200"/>
        <w:rPr>
          <w:rFonts w:ascii="仿宋" w:hAnsi="仿宋" w:eastAsia="仿宋" w:cs="仿宋"/>
        </w:rPr>
      </w:pPr>
      <w:r>
        <w:rPr>
          <w:rFonts w:hint="eastAsia" w:ascii="仿宋" w:hAnsi="仿宋" w:eastAsia="仿宋" w:cs="仿宋"/>
          <w:kern w:val="0"/>
          <w:szCs w:val="21"/>
        </w:rPr>
        <w:t>煤矸石制微晶玻璃</w:t>
      </w:r>
      <w:r>
        <w:rPr>
          <w:rFonts w:hint="eastAsia" w:ascii="仿宋" w:hAnsi="仿宋" w:eastAsia="仿宋" w:cs="仿宋"/>
        </w:rPr>
        <w:t>生产阶段碳足迹计算方法见公式（3）</w:t>
      </w:r>
    </w:p>
    <w:p w14:paraId="4A6BDF59">
      <w:pPr>
        <w:spacing w:line="400" w:lineRule="exact"/>
        <w:jc w:val="center"/>
        <w:rPr>
          <w:rFonts w:ascii="仿宋" w:hAnsi="仿宋" w:eastAsia="仿宋" w:cs="仿宋"/>
        </w:rPr>
      </w:pPr>
      <w:r>
        <w:rPr>
          <w:rFonts w:hint="eastAsia" w:ascii="仿宋" w:hAnsi="仿宋" w:eastAsia="仿宋" w:cs="仿宋"/>
          <w:color w:val="FF0000"/>
          <w:position w:val="-14"/>
        </w:rPr>
        <w:object>
          <v:shape id="_x0000_i1026" o:spt="75" type="#_x0000_t75" style="height:19.35pt;width:209pt;" o:ole="t" filled="f" o:preferrelative="t" stroked="f" coordsize="21600,21600">
            <v:path/>
            <v:fill on="f" focussize="0,0"/>
            <v:stroke on="f" joinstyle="miter"/>
            <v:imagedata r:id="rId13" o:title=""/>
            <o:lock v:ext="edit" aspectratio="t"/>
            <w10:wrap type="none"/>
            <w10:anchorlock/>
          </v:shape>
          <o:OLEObject Type="Embed" ProgID="Equation.DSMT4" ShapeID="_x0000_i1026" DrawAspect="Content" ObjectID="_1468075726" r:id="rId12">
            <o:LockedField>false</o:LockedField>
          </o:OLEObject>
        </w:object>
      </w:r>
      <w:r>
        <w:rPr>
          <w:rFonts w:hint="eastAsia" w:ascii="仿宋" w:hAnsi="仿宋" w:eastAsia="仿宋" w:cs="仿宋"/>
          <w:color w:val="FF0000"/>
        </w:rPr>
        <w:t xml:space="preserve">  </w:t>
      </w:r>
      <w:r>
        <w:rPr>
          <w:rFonts w:hint="eastAsia" w:ascii="仿宋" w:hAnsi="仿宋" w:eastAsia="仿宋" w:cs="仿宋"/>
        </w:rPr>
        <w:t>（3）</w:t>
      </w:r>
    </w:p>
    <w:p w14:paraId="0BCAB39C">
      <w:pPr>
        <w:spacing w:line="400" w:lineRule="exact"/>
        <w:rPr>
          <w:rFonts w:ascii="仿宋" w:hAnsi="仿宋" w:eastAsia="仿宋" w:cs="仿宋"/>
          <w:kern w:val="0"/>
          <w:szCs w:val="21"/>
        </w:rPr>
      </w:pPr>
      <w:r>
        <w:rPr>
          <w:rFonts w:hint="eastAsia" w:ascii="仿宋" w:hAnsi="仿宋" w:eastAsia="仿宋" w:cs="仿宋"/>
          <w:kern w:val="0"/>
          <w:szCs w:val="21"/>
        </w:rPr>
        <w:t>式中：</w:t>
      </w:r>
    </w:p>
    <w:p w14:paraId="417638D6">
      <w:pPr>
        <w:spacing w:line="400" w:lineRule="exact"/>
        <w:rPr>
          <w:rFonts w:ascii="仿宋" w:hAnsi="仿宋" w:eastAsia="仿宋" w:cs="仿宋"/>
        </w:rPr>
      </w:pPr>
      <w:r>
        <w:rPr>
          <w:rFonts w:hint="eastAsia" w:ascii="仿宋" w:hAnsi="仿宋" w:eastAsia="仿宋" w:cs="仿宋"/>
          <w:i/>
          <w:iCs/>
        </w:rPr>
        <w:t>E</w:t>
      </w:r>
      <w:r>
        <w:rPr>
          <w:rFonts w:hint="eastAsia" w:ascii="仿宋" w:hAnsi="仿宋" w:eastAsia="仿宋" w:cs="仿宋"/>
          <w:i/>
          <w:iCs/>
          <w:vertAlign w:val="subscript"/>
        </w:rPr>
        <w:t>fuel</w:t>
      </w:r>
      <w:r>
        <w:rPr>
          <w:rFonts w:hint="eastAsia" w:ascii="仿宋" w:hAnsi="仿宋" w:eastAsia="仿宋" w:cs="仿宋"/>
          <w:i/>
          <w:iCs/>
        </w:rPr>
        <w:t>——</w:t>
      </w:r>
      <w:r>
        <w:rPr>
          <w:rFonts w:hint="eastAsia" w:ascii="仿宋" w:hAnsi="仿宋" w:eastAsia="仿宋" w:cs="仿宋"/>
          <w:kern w:val="0"/>
          <w:szCs w:val="21"/>
        </w:rPr>
        <w:t>煤矸石制微晶玻璃消耗燃料产生的温室气体排放量，单位为吨二氧化碳当量（tCO2e）</w:t>
      </w:r>
      <w:r>
        <w:rPr>
          <w:rFonts w:hint="eastAsia" w:ascii="仿宋" w:hAnsi="仿宋" w:eastAsia="仿宋" w:cs="仿宋"/>
        </w:rPr>
        <w:t>；</w:t>
      </w:r>
    </w:p>
    <w:p w14:paraId="06C31F99">
      <w:pPr>
        <w:spacing w:line="400" w:lineRule="exact"/>
        <w:rPr>
          <w:rFonts w:ascii="仿宋" w:hAnsi="仿宋" w:eastAsia="仿宋" w:cs="仿宋"/>
        </w:rPr>
      </w:pPr>
      <w:r>
        <w:rPr>
          <w:rFonts w:hint="eastAsia" w:ascii="仿宋" w:hAnsi="仿宋" w:eastAsia="仿宋" w:cs="仿宋"/>
          <w:i/>
          <w:iCs/>
        </w:rPr>
        <w:t>E</w:t>
      </w:r>
      <w:r>
        <w:rPr>
          <w:rFonts w:hint="eastAsia" w:ascii="仿宋" w:hAnsi="仿宋" w:eastAsia="仿宋" w:cs="仿宋"/>
          <w:i/>
          <w:iCs/>
          <w:vertAlign w:val="subscript"/>
        </w:rPr>
        <w:t>elec</w:t>
      </w:r>
      <w:r>
        <w:rPr>
          <w:rFonts w:hint="eastAsia" w:ascii="仿宋" w:hAnsi="仿宋" w:eastAsia="仿宋" w:cs="仿宋"/>
          <w:i/>
          <w:iCs/>
        </w:rPr>
        <w:t>——</w:t>
      </w:r>
      <w:r>
        <w:rPr>
          <w:rFonts w:hint="eastAsia" w:ascii="仿宋" w:hAnsi="仿宋" w:eastAsia="仿宋" w:cs="仿宋"/>
          <w:kern w:val="0"/>
          <w:szCs w:val="21"/>
        </w:rPr>
        <w:t>煤矸石制微晶玻璃净外购电力产生的温室气体排放量，单位为吨二氧化碳当量（tCO2e）</w:t>
      </w:r>
      <w:r>
        <w:rPr>
          <w:rFonts w:hint="eastAsia" w:ascii="仿宋" w:hAnsi="仿宋" w:eastAsia="仿宋" w:cs="仿宋"/>
        </w:rPr>
        <w:t>；</w:t>
      </w:r>
    </w:p>
    <w:p w14:paraId="256D53F0">
      <w:pPr>
        <w:spacing w:line="400" w:lineRule="exact"/>
        <w:rPr>
          <w:rFonts w:ascii="仿宋" w:hAnsi="仿宋" w:eastAsia="仿宋" w:cs="仿宋"/>
        </w:rPr>
      </w:pPr>
      <w:r>
        <w:rPr>
          <w:rFonts w:hint="eastAsia" w:ascii="仿宋" w:hAnsi="仿宋" w:eastAsia="仿宋" w:cs="仿宋"/>
          <w:i/>
          <w:iCs/>
        </w:rPr>
        <w:t>E</w:t>
      </w:r>
      <w:r>
        <w:rPr>
          <w:rFonts w:hint="eastAsia" w:ascii="仿宋" w:hAnsi="仿宋" w:eastAsia="仿宋" w:cs="仿宋"/>
          <w:i/>
          <w:iCs/>
          <w:vertAlign w:val="subscript"/>
        </w:rPr>
        <w:t>therm</w:t>
      </w:r>
      <w:r>
        <w:rPr>
          <w:rFonts w:hint="eastAsia" w:ascii="仿宋" w:hAnsi="仿宋" w:eastAsia="仿宋" w:cs="仿宋"/>
          <w:i/>
          <w:iCs/>
        </w:rPr>
        <w:t>——</w:t>
      </w:r>
      <w:r>
        <w:rPr>
          <w:rFonts w:hint="eastAsia" w:ascii="仿宋" w:hAnsi="仿宋" w:eastAsia="仿宋" w:cs="仿宋"/>
          <w:kern w:val="0"/>
          <w:szCs w:val="21"/>
        </w:rPr>
        <w:t>煤矸石制微晶玻璃净外购热力产生的温室气体排放量，单位为吨二氧化碳当量（tCO2e）</w:t>
      </w:r>
      <w:r>
        <w:rPr>
          <w:rFonts w:hint="eastAsia" w:ascii="仿宋" w:hAnsi="仿宋" w:eastAsia="仿宋" w:cs="仿宋"/>
        </w:rPr>
        <w:t>；</w:t>
      </w:r>
    </w:p>
    <w:p w14:paraId="7340D909">
      <w:pPr>
        <w:spacing w:line="400" w:lineRule="exact"/>
        <w:rPr>
          <w:rFonts w:ascii="仿宋" w:hAnsi="仿宋" w:eastAsia="仿宋" w:cs="仿宋"/>
        </w:rPr>
      </w:pPr>
      <w:r>
        <w:rPr>
          <w:rFonts w:hint="eastAsia" w:ascii="仿宋" w:hAnsi="仿宋" w:eastAsia="仿宋" w:cs="仿宋"/>
          <w:i/>
          <w:iCs/>
        </w:rPr>
        <w:t>E</w:t>
      </w:r>
      <w:r>
        <w:rPr>
          <w:rFonts w:hint="eastAsia" w:ascii="仿宋" w:hAnsi="仿宋" w:eastAsia="仿宋" w:cs="仿宋"/>
          <w:i/>
          <w:iCs/>
          <w:vertAlign w:val="subscript"/>
        </w:rPr>
        <w:t>waste</w:t>
      </w:r>
      <w:r>
        <w:rPr>
          <w:rFonts w:hint="eastAsia" w:ascii="仿宋" w:hAnsi="仿宋" w:eastAsia="仿宋" w:cs="仿宋"/>
          <w:i/>
          <w:iCs/>
        </w:rPr>
        <w:t>——</w:t>
      </w:r>
      <w:r>
        <w:rPr>
          <w:rFonts w:hint="eastAsia" w:ascii="仿宋" w:hAnsi="仿宋" w:eastAsia="仿宋" w:cs="仿宋"/>
          <w:kern w:val="0"/>
          <w:szCs w:val="21"/>
        </w:rPr>
        <w:t>处置煤矸石制微晶玻璃生产阶段废弃物产生的温室气体排放量，单位为吨二氧化碳当量（tCO2e）</w:t>
      </w:r>
      <w:r>
        <w:rPr>
          <w:rFonts w:hint="eastAsia" w:ascii="仿宋" w:hAnsi="仿宋" w:eastAsia="仿宋" w:cs="仿宋"/>
        </w:rPr>
        <w:t>；</w:t>
      </w:r>
    </w:p>
    <w:p w14:paraId="362CCA85">
      <w:pPr>
        <w:spacing w:line="400" w:lineRule="exact"/>
        <w:rPr>
          <w:rFonts w:ascii="仿宋" w:hAnsi="仿宋" w:eastAsia="仿宋" w:cs="仿宋"/>
        </w:rPr>
      </w:pPr>
      <w:r>
        <w:rPr>
          <w:rFonts w:hint="eastAsia" w:ascii="仿宋" w:hAnsi="仿宋" w:eastAsia="仿宋" w:cs="仿宋"/>
          <w:i/>
          <w:iCs/>
        </w:rPr>
        <w:t>E</w:t>
      </w:r>
      <w:r>
        <w:rPr>
          <w:rFonts w:hint="eastAsia" w:ascii="仿宋" w:hAnsi="仿宋" w:eastAsia="仿宋" w:cs="仿宋"/>
          <w:i/>
          <w:iCs/>
          <w:vertAlign w:val="subscript"/>
        </w:rPr>
        <w:t>process</w:t>
      </w:r>
      <w:r>
        <w:rPr>
          <w:rFonts w:hint="eastAsia" w:ascii="仿宋" w:hAnsi="仿宋" w:eastAsia="仿宋" w:cs="仿宋"/>
          <w:i/>
          <w:iCs/>
        </w:rPr>
        <w:t>——</w:t>
      </w:r>
      <w:r>
        <w:rPr>
          <w:rFonts w:hint="eastAsia" w:ascii="仿宋" w:hAnsi="仿宋" w:eastAsia="仿宋" w:cs="仿宋"/>
          <w:kern w:val="0"/>
          <w:szCs w:val="21"/>
        </w:rPr>
        <w:t>煤矸石制微晶玻璃在生产阶段工艺过程产生的温室气体排放量，单位为吨二氧化碳当量（tCO2e）</w:t>
      </w:r>
      <w:r>
        <w:rPr>
          <w:rFonts w:hint="eastAsia" w:ascii="仿宋" w:hAnsi="仿宋" w:eastAsia="仿宋" w:cs="仿宋"/>
        </w:rPr>
        <w:t>。</w:t>
      </w:r>
    </w:p>
    <w:p w14:paraId="6DC8CDAB">
      <w:pPr>
        <w:spacing w:line="400" w:lineRule="exact"/>
        <w:rPr>
          <w:rFonts w:ascii="仿宋" w:hAnsi="仿宋" w:eastAsia="仿宋" w:cs="仿宋"/>
        </w:rPr>
      </w:pPr>
      <w:r>
        <w:rPr>
          <w:rFonts w:hint="eastAsia" w:ascii="仿宋" w:hAnsi="仿宋" w:eastAsia="仿宋" w:cs="仿宋"/>
        </w:rPr>
        <w:t>9.3.2消耗燃料产生的温室气体排放</w:t>
      </w:r>
    </w:p>
    <w:p w14:paraId="0EE1DA7D">
      <w:pPr>
        <w:spacing w:line="400" w:lineRule="exact"/>
        <w:ind w:firstLine="420" w:firstLineChars="200"/>
        <w:rPr>
          <w:rFonts w:ascii="仿宋" w:hAnsi="仿宋" w:eastAsia="仿宋" w:cs="仿宋"/>
        </w:rPr>
      </w:pPr>
      <w:r>
        <w:rPr>
          <w:rFonts w:hint="eastAsia" w:ascii="仿宋" w:hAnsi="仿宋" w:eastAsia="仿宋" w:cs="仿宋"/>
          <w:kern w:val="0"/>
          <w:szCs w:val="21"/>
        </w:rPr>
        <w:t>煤矸石制微晶玻璃</w:t>
      </w:r>
      <w:r>
        <w:rPr>
          <w:rFonts w:hint="eastAsia" w:ascii="仿宋" w:hAnsi="仿宋" w:eastAsia="仿宋" w:cs="仿宋"/>
        </w:rPr>
        <w:t>生产阶段消耗燃料产生的温室气体排放量包括燃料加工过程及其燃烧过程的温室气体排放量之和，计算方法见公式（4）。</w:t>
      </w:r>
    </w:p>
    <w:p w14:paraId="073634BD">
      <w:pPr>
        <w:spacing w:line="400" w:lineRule="exact"/>
        <w:jc w:val="center"/>
        <w:rPr>
          <w:rFonts w:ascii="仿宋" w:hAnsi="仿宋" w:eastAsia="仿宋" w:cs="仿宋"/>
        </w:rPr>
      </w:pPr>
      <w:r>
        <w:rPr>
          <w:rFonts w:hint="eastAsia" w:ascii="仿宋" w:hAnsi="仿宋" w:eastAsia="仿宋" w:cs="仿宋"/>
          <w:position w:val="-16"/>
        </w:rPr>
        <w:object>
          <v:shape id="_x0000_i1027" o:spt="75" type="#_x0000_t75" style="height:23.1pt;width:144pt;" o:ole="t" filled="f" o:preferrelative="t" stroked="f" coordsize="21600,21600">
            <v:path/>
            <v:fill on="f" focussize="0,0"/>
            <v:stroke on="f" joinstyle="miter"/>
            <v:imagedata r:id="rId15" o:title=""/>
            <o:lock v:ext="edit" aspectratio="t"/>
            <w10:wrap type="none"/>
            <w10:anchorlock/>
          </v:shape>
          <o:OLEObject Type="Embed" ProgID="Equation.DSMT4" ShapeID="_x0000_i1027" DrawAspect="Content" ObjectID="_1468075727" r:id="rId14">
            <o:LockedField>false</o:LockedField>
          </o:OLEObject>
        </w:object>
      </w:r>
      <w:r>
        <w:rPr>
          <w:rFonts w:hint="eastAsia" w:ascii="仿宋" w:hAnsi="仿宋" w:eastAsia="仿宋" w:cs="仿宋"/>
        </w:rPr>
        <w:t xml:space="preserve">  （4）</w:t>
      </w:r>
    </w:p>
    <w:p w14:paraId="5BAD268B">
      <w:pPr>
        <w:spacing w:line="400" w:lineRule="exact"/>
        <w:rPr>
          <w:rFonts w:ascii="仿宋" w:hAnsi="仿宋" w:eastAsia="仿宋" w:cs="仿宋"/>
        </w:rPr>
      </w:pPr>
      <w:r>
        <w:rPr>
          <w:rFonts w:hint="eastAsia" w:ascii="仿宋" w:hAnsi="仿宋" w:eastAsia="仿宋" w:cs="仿宋"/>
        </w:rPr>
        <w:t>式中：</w:t>
      </w:r>
    </w:p>
    <w:p w14:paraId="6AAAAE9D">
      <w:pPr>
        <w:spacing w:line="400" w:lineRule="exact"/>
        <w:rPr>
          <w:rFonts w:ascii="仿宋" w:hAnsi="仿宋" w:eastAsia="仿宋" w:cs="仿宋"/>
        </w:rPr>
      </w:pPr>
      <w:r>
        <w:rPr>
          <w:rFonts w:hint="eastAsia" w:ascii="仿宋" w:hAnsi="仿宋" w:eastAsia="仿宋" w:cs="仿宋"/>
          <w:i/>
          <w:iCs/>
        </w:rPr>
        <w:t>AD</w:t>
      </w:r>
      <w:r>
        <w:rPr>
          <w:rFonts w:hint="eastAsia" w:ascii="仿宋" w:hAnsi="仿宋" w:eastAsia="仿宋" w:cs="仿宋"/>
          <w:i/>
          <w:iCs/>
          <w:vertAlign w:val="subscript"/>
        </w:rPr>
        <w:t>fuel,i</w:t>
      </w:r>
      <w:r>
        <w:rPr>
          <w:rFonts w:hint="eastAsia" w:ascii="仿宋" w:hAnsi="仿宋" w:eastAsia="仿宋" w:cs="仿宋"/>
          <w:i/>
          <w:iCs/>
        </w:rPr>
        <w:t>——</w:t>
      </w:r>
      <w:r>
        <w:rPr>
          <w:rFonts w:hint="eastAsia" w:ascii="仿宋" w:hAnsi="仿宋" w:eastAsia="仿宋" w:cs="仿宋"/>
          <w:kern w:val="0"/>
          <w:szCs w:val="21"/>
        </w:rPr>
        <w:t>燃料i的消耗量，单位与燃料匹配</w:t>
      </w:r>
      <w:r>
        <w:rPr>
          <w:rFonts w:hint="eastAsia" w:ascii="仿宋" w:hAnsi="仿宋" w:eastAsia="仿宋" w:cs="仿宋"/>
        </w:rPr>
        <w:t>；</w:t>
      </w:r>
    </w:p>
    <w:p w14:paraId="515A3C7B">
      <w:pPr>
        <w:spacing w:line="400" w:lineRule="exact"/>
        <w:rPr>
          <w:rFonts w:ascii="仿宋" w:hAnsi="仿宋" w:eastAsia="仿宋" w:cs="仿宋"/>
        </w:rPr>
      </w:pPr>
      <w:r>
        <w:rPr>
          <w:rFonts w:hint="eastAsia" w:ascii="仿宋" w:hAnsi="仿宋" w:eastAsia="仿宋" w:cs="仿宋"/>
          <w:i/>
          <w:iCs/>
        </w:rPr>
        <w:t>EF</w:t>
      </w:r>
      <w:r>
        <w:rPr>
          <w:rFonts w:hint="eastAsia" w:ascii="仿宋" w:hAnsi="仿宋" w:eastAsia="仿宋" w:cs="仿宋"/>
          <w:i/>
          <w:iCs/>
          <w:vertAlign w:val="subscript"/>
        </w:rPr>
        <w:t>fuel,i</w:t>
      </w:r>
      <w:r>
        <w:rPr>
          <w:rFonts w:hint="eastAsia" w:ascii="仿宋" w:hAnsi="仿宋" w:eastAsia="仿宋" w:cs="仿宋"/>
          <w:i/>
          <w:iCs/>
        </w:rPr>
        <w:t>——</w:t>
      </w:r>
      <w:r>
        <w:rPr>
          <w:rFonts w:hint="eastAsia" w:ascii="仿宋" w:hAnsi="仿宋" w:eastAsia="仿宋" w:cs="仿宋"/>
          <w:kern w:val="0"/>
          <w:szCs w:val="21"/>
        </w:rPr>
        <w:t>燃料i的碳足迹因子，包括燃料加工过程及其燃烧过程，单位与燃料匹配。</w:t>
      </w:r>
    </w:p>
    <w:p w14:paraId="3856A564">
      <w:pPr>
        <w:spacing w:line="400" w:lineRule="exact"/>
        <w:rPr>
          <w:rFonts w:ascii="仿宋" w:hAnsi="仿宋" w:eastAsia="仿宋" w:cs="仿宋"/>
        </w:rPr>
      </w:pPr>
      <w:r>
        <w:rPr>
          <w:rFonts w:hint="eastAsia" w:ascii="仿宋" w:hAnsi="仿宋" w:eastAsia="仿宋" w:cs="仿宋"/>
        </w:rPr>
        <w:t>9.3.3净外购电力产生的温室气体排放</w:t>
      </w:r>
    </w:p>
    <w:p w14:paraId="2EC70EA8">
      <w:pPr>
        <w:spacing w:line="400" w:lineRule="exact"/>
        <w:ind w:firstLine="420" w:firstLineChars="200"/>
        <w:rPr>
          <w:rFonts w:ascii="仿宋" w:hAnsi="仿宋" w:eastAsia="仿宋" w:cs="仿宋"/>
        </w:rPr>
      </w:pPr>
      <w:r>
        <w:rPr>
          <w:rFonts w:hint="eastAsia" w:ascii="仿宋" w:hAnsi="仿宋" w:eastAsia="仿宋" w:cs="仿宋"/>
        </w:rPr>
        <w:t>净外购电力产生的温室气体排放量计算方法见公式（5）：</w:t>
      </w:r>
    </w:p>
    <w:p w14:paraId="0FB7C4C2">
      <w:pPr>
        <w:spacing w:line="400" w:lineRule="exact"/>
        <w:jc w:val="center"/>
        <w:rPr>
          <w:rFonts w:ascii="仿宋" w:hAnsi="仿宋" w:eastAsia="仿宋" w:cs="仿宋"/>
        </w:rPr>
      </w:pPr>
      <w:r>
        <w:rPr>
          <w:rFonts w:hint="eastAsia" w:ascii="仿宋" w:hAnsi="仿宋" w:eastAsia="仿宋" w:cs="仿宋"/>
          <w:position w:val="-12"/>
        </w:rPr>
        <w:object>
          <v:shape id="_x0000_i1028" o:spt="75" type="#_x0000_t75" style="height:18.25pt;width:99.95pt;" o:ole="t" filled="f" o:preferrelative="t" stroked="f" coordsize="21600,21600">
            <v:path/>
            <v:fill on="f" focussize="0,0"/>
            <v:stroke on="f" joinstyle="miter"/>
            <v:imagedata r:id="rId17" o:title=""/>
            <o:lock v:ext="edit" aspectratio="t"/>
            <w10:wrap type="none"/>
            <w10:anchorlock/>
          </v:shape>
          <o:OLEObject Type="Embed" ProgID="Equation.DSMT4" ShapeID="_x0000_i1028" DrawAspect="Content" ObjectID="_1468075728" r:id="rId16">
            <o:LockedField>false</o:LockedField>
          </o:OLEObject>
        </w:object>
      </w:r>
      <w:r>
        <w:rPr>
          <w:rFonts w:hint="eastAsia" w:ascii="仿宋" w:hAnsi="仿宋" w:eastAsia="仿宋" w:cs="仿宋"/>
        </w:rPr>
        <w:t xml:space="preserve">  （5）</w:t>
      </w:r>
    </w:p>
    <w:p w14:paraId="714AD578">
      <w:pPr>
        <w:spacing w:line="400" w:lineRule="exact"/>
        <w:rPr>
          <w:rFonts w:ascii="仿宋" w:hAnsi="仿宋" w:eastAsia="仿宋" w:cs="仿宋"/>
        </w:rPr>
      </w:pPr>
      <w:r>
        <w:rPr>
          <w:rFonts w:hint="eastAsia" w:ascii="仿宋" w:hAnsi="仿宋" w:eastAsia="仿宋" w:cs="仿宋"/>
        </w:rPr>
        <w:t>式中：</w:t>
      </w:r>
    </w:p>
    <w:p w14:paraId="25CC5151">
      <w:pPr>
        <w:spacing w:line="400" w:lineRule="exact"/>
        <w:rPr>
          <w:rFonts w:ascii="仿宋" w:hAnsi="仿宋" w:eastAsia="仿宋" w:cs="仿宋"/>
        </w:rPr>
      </w:pPr>
      <w:r>
        <w:rPr>
          <w:rFonts w:hint="eastAsia" w:ascii="仿宋" w:hAnsi="仿宋" w:eastAsia="仿宋" w:cs="仿宋"/>
          <w:i/>
          <w:iCs/>
        </w:rPr>
        <w:t>AD</w:t>
      </w:r>
      <w:r>
        <w:rPr>
          <w:rFonts w:hint="eastAsia" w:ascii="仿宋" w:hAnsi="仿宋" w:eastAsia="仿宋" w:cs="仿宋"/>
          <w:i/>
          <w:iCs/>
          <w:vertAlign w:val="subscript"/>
        </w:rPr>
        <w:t>elec</w:t>
      </w:r>
      <w:r>
        <w:rPr>
          <w:rFonts w:hint="eastAsia" w:ascii="仿宋" w:hAnsi="仿宋" w:eastAsia="仿宋" w:cs="仿宋"/>
          <w:i/>
          <w:iCs/>
        </w:rPr>
        <w:t>——</w:t>
      </w:r>
      <w:r>
        <w:rPr>
          <w:rFonts w:hint="eastAsia" w:ascii="仿宋" w:hAnsi="仿宋" w:eastAsia="仿宋" w:cs="仿宋"/>
          <w:kern w:val="0"/>
          <w:szCs w:val="21"/>
        </w:rPr>
        <w:t>每声明单位对应净外购的电量，单位为兆瓦时（MWh）</w:t>
      </w:r>
      <w:r>
        <w:rPr>
          <w:rFonts w:hint="eastAsia" w:ascii="仿宋" w:hAnsi="仿宋" w:eastAsia="仿宋" w:cs="仿宋"/>
        </w:rPr>
        <w:t>；</w:t>
      </w:r>
    </w:p>
    <w:p w14:paraId="2DBD57A0">
      <w:pPr>
        <w:spacing w:line="400" w:lineRule="exact"/>
        <w:rPr>
          <w:rFonts w:ascii="仿宋" w:hAnsi="仿宋" w:eastAsia="仿宋" w:cs="仿宋"/>
        </w:rPr>
      </w:pPr>
      <w:r>
        <w:rPr>
          <w:rFonts w:hint="eastAsia" w:ascii="仿宋" w:hAnsi="仿宋" w:eastAsia="仿宋" w:cs="仿宋"/>
          <w:i/>
          <w:iCs/>
        </w:rPr>
        <w:t>EF</w:t>
      </w:r>
      <w:r>
        <w:rPr>
          <w:rFonts w:hint="eastAsia" w:ascii="仿宋" w:hAnsi="仿宋" w:eastAsia="仿宋" w:cs="仿宋"/>
          <w:i/>
          <w:iCs/>
          <w:vertAlign w:val="subscript"/>
        </w:rPr>
        <w:t>elec</w:t>
      </w:r>
      <w:r>
        <w:rPr>
          <w:rFonts w:hint="eastAsia" w:ascii="仿宋" w:hAnsi="仿宋" w:eastAsia="仿宋" w:cs="仿宋"/>
          <w:i/>
          <w:iCs/>
        </w:rPr>
        <w:t>——</w:t>
      </w:r>
      <w:r>
        <w:rPr>
          <w:rFonts w:hint="eastAsia" w:ascii="仿宋" w:hAnsi="仿宋" w:eastAsia="仿宋" w:cs="仿宋"/>
          <w:kern w:val="0"/>
          <w:szCs w:val="21"/>
        </w:rPr>
        <w:t>电力碳足迹因子，单位为吨二氧化碳当量每兆瓦时（tCO2e/MWh）。</w:t>
      </w:r>
    </w:p>
    <w:p w14:paraId="18764686">
      <w:pPr>
        <w:spacing w:line="400" w:lineRule="exact"/>
        <w:rPr>
          <w:rFonts w:ascii="仿宋" w:hAnsi="仿宋" w:eastAsia="仿宋" w:cs="仿宋"/>
        </w:rPr>
      </w:pPr>
      <w:r>
        <w:rPr>
          <w:rFonts w:hint="eastAsia" w:ascii="仿宋" w:hAnsi="仿宋" w:eastAsia="仿宋" w:cs="仿宋"/>
        </w:rPr>
        <w:t>9.3.4净外购热力产生的温室气体排放</w:t>
      </w:r>
    </w:p>
    <w:p w14:paraId="35BE980B">
      <w:pPr>
        <w:spacing w:line="400" w:lineRule="exact"/>
        <w:ind w:firstLine="420" w:firstLineChars="200"/>
        <w:rPr>
          <w:rFonts w:ascii="仿宋" w:hAnsi="仿宋" w:eastAsia="仿宋" w:cs="仿宋"/>
        </w:rPr>
      </w:pPr>
      <w:r>
        <w:rPr>
          <w:rFonts w:hint="eastAsia" w:ascii="仿宋" w:hAnsi="仿宋" w:eastAsia="仿宋" w:cs="仿宋"/>
        </w:rPr>
        <w:t>净外购热力产生的温室气体排放量计算方法见公式（6）：</w:t>
      </w:r>
    </w:p>
    <w:p w14:paraId="5A96B709">
      <w:pPr>
        <w:spacing w:line="400" w:lineRule="exact"/>
        <w:jc w:val="center"/>
        <w:rPr>
          <w:rFonts w:ascii="仿宋" w:hAnsi="仿宋" w:eastAsia="仿宋" w:cs="仿宋"/>
        </w:rPr>
      </w:pPr>
      <w:r>
        <w:rPr>
          <w:rFonts w:hint="eastAsia" w:ascii="仿宋" w:hAnsi="仿宋" w:eastAsia="仿宋" w:cs="仿宋"/>
          <w:position w:val="-12"/>
        </w:rPr>
        <w:object>
          <v:shape id="_x0000_i1029" o:spt="75" type="#_x0000_t75" style="height:18.25pt;width:113.9pt;" o:ole="t" filled="f" o:preferrelative="t" stroked="f" coordsize="21600,21600">
            <v:path/>
            <v:fill on="f" focussize="0,0"/>
            <v:stroke on="f" joinstyle="miter"/>
            <v:imagedata r:id="rId19" o:title=""/>
            <o:lock v:ext="edit" aspectratio="t"/>
            <w10:wrap type="none"/>
            <w10:anchorlock/>
          </v:shape>
          <o:OLEObject Type="Embed" ProgID="Equation.DSMT4" ShapeID="_x0000_i1029" DrawAspect="Content" ObjectID="_1468075729" r:id="rId18">
            <o:LockedField>false</o:LockedField>
          </o:OLEObject>
        </w:object>
      </w:r>
      <w:r>
        <w:rPr>
          <w:rFonts w:hint="eastAsia" w:ascii="仿宋" w:hAnsi="仿宋" w:eastAsia="仿宋" w:cs="仿宋"/>
        </w:rPr>
        <w:t xml:space="preserve">  （6）</w:t>
      </w:r>
    </w:p>
    <w:p w14:paraId="7516A7C3">
      <w:pPr>
        <w:spacing w:line="400" w:lineRule="exact"/>
        <w:rPr>
          <w:rFonts w:ascii="仿宋" w:hAnsi="仿宋" w:eastAsia="仿宋" w:cs="仿宋"/>
        </w:rPr>
      </w:pPr>
      <w:r>
        <w:rPr>
          <w:rFonts w:hint="eastAsia" w:ascii="仿宋" w:hAnsi="仿宋" w:eastAsia="仿宋" w:cs="仿宋"/>
        </w:rPr>
        <w:t>式中：</w:t>
      </w:r>
    </w:p>
    <w:p w14:paraId="16FE7153">
      <w:pPr>
        <w:spacing w:line="400" w:lineRule="exact"/>
        <w:rPr>
          <w:rFonts w:ascii="仿宋" w:hAnsi="仿宋" w:eastAsia="仿宋" w:cs="仿宋"/>
        </w:rPr>
      </w:pPr>
      <w:r>
        <w:rPr>
          <w:rFonts w:hint="eastAsia" w:ascii="仿宋" w:hAnsi="仿宋" w:eastAsia="仿宋" w:cs="仿宋"/>
          <w:i/>
          <w:iCs/>
        </w:rPr>
        <w:t>AD</w:t>
      </w:r>
      <w:r>
        <w:rPr>
          <w:rFonts w:hint="eastAsia" w:ascii="仿宋" w:hAnsi="仿宋" w:eastAsia="仿宋" w:cs="仿宋"/>
          <w:i/>
          <w:iCs/>
          <w:vertAlign w:val="subscript"/>
        </w:rPr>
        <w:t>therm</w:t>
      </w:r>
      <w:r>
        <w:rPr>
          <w:rFonts w:hint="eastAsia" w:ascii="仿宋" w:hAnsi="仿宋" w:eastAsia="仿宋" w:cs="仿宋"/>
          <w:i/>
          <w:iCs/>
        </w:rPr>
        <w:t>——</w:t>
      </w:r>
      <w:r>
        <w:rPr>
          <w:rFonts w:hint="eastAsia" w:ascii="仿宋" w:hAnsi="仿宋" w:eastAsia="仿宋" w:cs="仿宋"/>
          <w:kern w:val="0"/>
          <w:szCs w:val="21"/>
        </w:rPr>
        <w:t>每声明单位对应净外购的热力量，单位为吉焦（GJ）</w:t>
      </w:r>
      <w:r>
        <w:rPr>
          <w:rFonts w:hint="eastAsia" w:ascii="仿宋" w:hAnsi="仿宋" w:eastAsia="仿宋" w:cs="仿宋"/>
        </w:rPr>
        <w:t>；</w:t>
      </w:r>
    </w:p>
    <w:p w14:paraId="729AAA6D">
      <w:pPr>
        <w:spacing w:line="400" w:lineRule="exact"/>
        <w:rPr>
          <w:rFonts w:ascii="仿宋" w:hAnsi="仿宋" w:eastAsia="仿宋" w:cs="仿宋"/>
        </w:rPr>
      </w:pPr>
      <w:r>
        <w:rPr>
          <w:rFonts w:hint="eastAsia" w:ascii="仿宋" w:hAnsi="仿宋" w:eastAsia="仿宋" w:cs="仿宋"/>
          <w:i/>
          <w:iCs/>
        </w:rPr>
        <w:t>EF</w:t>
      </w:r>
      <w:r>
        <w:rPr>
          <w:rFonts w:hint="eastAsia" w:ascii="仿宋" w:hAnsi="仿宋" w:eastAsia="仿宋" w:cs="仿宋"/>
          <w:i/>
          <w:iCs/>
          <w:vertAlign w:val="subscript"/>
        </w:rPr>
        <w:t>therm</w:t>
      </w:r>
      <w:r>
        <w:rPr>
          <w:rFonts w:hint="eastAsia" w:ascii="仿宋" w:hAnsi="仿宋" w:eastAsia="仿宋" w:cs="仿宋"/>
          <w:i/>
          <w:iCs/>
        </w:rPr>
        <w:t>——</w:t>
      </w:r>
      <w:r>
        <w:rPr>
          <w:rFonts w:hint="eastAsia" w:ascii="仿宋" w:hAnsi="仿宋" w:eastAsia="仿宋" w:cs="仿宋"/>
          <w:kern w:val="0"/>
          <w:szCs w:val="21"/>
        </w:rPr>
        <w:t>热力的碳足迹因子，单位为吨二氧化碳当量每吉焦（tCO2e/GJ）。</w:t>
      </w:r>
    </w:p>
    <w:p w14:paraId="45F9BA20">
      <w:pPr>
        <w:spacing w:line="400" w:lineRule="exact"/>
        <w:rPr>
          <w:rFonts w:ascii="仿宋" w:hAnsi="仿宋" w:eastAsia="仿宋" w:cs="仿宋"/>
        </w:rPr>
      </w:pPr>
      <w:r>
        <w:rPr>
          <w:rFonts w:hint="eastAsia" w:ascii="仿宋" w:hAnsi="仿宋" w:eastAsia="仿宋" w:cs="仿宋"/>
        </w:rPr>
        <w:t>9.3.5处置废弃物产生的温室气体排放</w:t>
      </w:r>
    </w:p>
    <w:p w14:paraId="46079C23">
      <w:pPr>
        <w:spacing w:line="400" w:lineRule="exact"/>
        <w:ind w:firstLine="420" w:firstLineChars="200"/>
        <w:rPr>
          <w:rFonts w:ascii="仿宋" w:hAnsi="仿宋" w:eastAsia="仿宋" w:cs="仿宋"/>
        </w:rPr>
      </w:pPr>
      <w:r>
        <w:rPr>
          <w:rFonts w:hint="eastAsia" w:ascii="仿宋" w:hAnsi="仿宋" w:eastAsia="仿宋" w:cs="仿宋"/>
        </w:rPr>
        <w:t>处置废弃物产生的温室气体排放量计算方法见公式（7）</w:t>
      </w:r>
    </w:p>
    <w:p w14:paraId="0DF2C10D">
      <w:pPr>
        <w:spacing w:line="400" w:lineRule="exact"/>
        <w:jc w:val="center"/>
        <w:rPr>
          <w:rFonts w:ascii="仿宋" w:hAnsi="仿宋" w:eastAsia="仿宋" w:cs="仿宋"/>
        </w:rPr>
      </w:pPr>
      <w:r>
        <w:rPr>
          <w:rFonts w:hint="eastAsia" w:ascii="仿宋" w:hAnsi="仿宋" w:eastAsia="仿宋" w:cs="仿宋"/>
          <w:position w:val="-16"/>
        </w:rPr>
        <w:object>
          <v:shape id="_x0000_i1030" o:spt="75" type="#_x0000_t75" style="height:23.1pt;width:155.8pt;" o:ole="t" filled="f" o:preferrelative="t" stroked="f" coordsize="21600,21600">
            <v:path/>
            <v:fill on="f" focussize="0,0"/>
            <v:stroke on="f" joinstyle="miter"/>
            <v:imagedata r:id="rId21" o:title=""/>
            <o:lock v:ext="edit" aspectratio="t"/>
            <w10:wrap type="none"/>
            <w10:anchorlock/>
          </v:shape>
          <o:OLEObject Type="Embed" ProgID="Equation.DSMT4" ShapeID="_x0000_i1030" DrawAspect="Content" ObjectID="_1468075730" r:id="rId20">
            <o:LockedField>false</o:LockedField>
          </o:OLEObject>
        </w:object>
      </w:r>
      <w:r>
        <w:rPr>
          <w:rFonts w:hint="eastAsia" w:ascii="仿宋" w:hAnsi="仿宋" w:eastAsia="仿宋" w:cs="仿宋"/>
        </w:rPr>
        <w:t xml:space="preserve">  （7）</w:t>
      </w:r>
    </w:p>
    <w:p w14:paraId="5423613D">
      <w:pPr>
        <w:spacing w:line="400" w:lineRule="exact"/>
        <w:rPr>
          <w:rFonts w:ascii="仿宋" w:hAnsi="仿宋" w:eastAsia="仿宋" w:cs="仿宋"/>
        </w:rPr>
      </w:pPr>
      <w:r>
        <w:rPr>
          <w:rFonts w:hint="eastAsia" w:ascii="仿宋" w:hAnsi="仿宋" w:eastAsia="仿宋" w:cs="仿宋"/>
        </w:rPr>
        <w:t>式中：</w:t>
      </w:r>
    </w:p>
    <w:p w14:paraId="489A7372">
      <w:pPr>
        <w:spacing w:line="400" w:lineRule="exact"/>
        <w:rPr>
          <w:rFonts w:ascii="仿宋" w:hAnsi="仿宋" w:eastAsia="仿宋" w:cs="仿宋"/>
        </w:rPr>
      </w:pPr>
      <w:r>
        <w:rPr>
          <w:rFonts w:hint="eastAsia" w:ascii="仿宋" w:hAnsi="仿宋" w:eastAsia="仿宋" w:cs="仿宋"/>
          <w:i/>
          <w:iCs/>
        </w:rPr>
        <w:t>AD</w:t>
      </w:r>
      <w:r>
        <w:rPr>
          <w:rFonts w:hint="eastAsia" w:ascii="仿宋" w:hAnsi="仿宋" w:eastAsia="仿宋" w:cs="仿宋"/>
          <w:i/>
          <w:iCs/>
          <w:vertAlign w:val="subscript"/>
        </w:rPr>
        <w:t>waste,i</w:t>
      </w:r>
      <w:r>
        <w:rPr>
          <w:rFonts w:hint="eastAsia" w:ascii="仿宋" w:hAnsi="仿宋" w:eastAsia="仿宋" w:cs="仿宋"/>
          <w:i/>
          <w:iCs/>
        </w:rPr>
        <w:t>——</w:t>
      </w:r>
      <w:r>
        <w:rPr>
          <w:rFonts w:hint="eastAsia" w:ascii="仿宋" w:hAnsi="仿宋" w:eastAsia="仿宋" w:cs="仿宋"/>
          <w:kern w:val="0"/>
          <w:szCs w:val="21"/>
        </w:rPr>
        <w:t>第i种废弃物活动数据，单位与待处置废弃物匹配</w:t>
      </w:r>
      <w:r>
        <w:rPr>
          <w:rFonts w:hint="eastAsia" w:ascii="仿宋" w:hAnsi="仿宋" w:eastAsia="仿宋" w:cs="仿宋"/>
        </w:rPr>
        <w:t>；</w:t>
      </w:r>
    </w:p>
    <w:p w14:paraId="1674498D">
      <w:pPr>
        <w:spacing w:line="400" w:lineRule="exact"/>
        <w:rPr>
          <w:rFonts w:ascii="仿宋" w:hAnsi="仿宋" w:eastAsia="仿宋" w:cs="仿宋"/>
        </w:rPr>
      </w:pPr>
      <w:r>
        <w:rPr>
          <w:rFonts w:hint="eastAsia" w:ascii="仿宋" w:hAnsi="仿宋" w:eastAsia="仿宋" w:cs="仿宋"/>
          <w:i/>
          <w:iCs/>
        </w:rPr>
        <w:t>EF</w:t>
      </w:r>
      <w:r>
        <w:rPr>
          <w:rFonts w:hint="eastAsia" w:ascii="仿宋" w:hAnsi="仿宋" w:eastAsia="仿宋" w:cs="仿宋"/>
          <w:i/>
          <w:iCs/>
          <w:vertAlign w:val="subscript"/>
        </w:rPr>
        <w:t>waste,i</w:t>
      </w:r>
      <w:r>
        <w:rPr>
          <w:rFonts w:hint="eastAsia" w:ascii="仿宋" w:hAnsi="仿宋" w:eastAsia="仿宋" w:cs="仿宋"/>
          <w:i/>
          <w:iCs/>
        </w:rPr>
        <w:t>——</w:t>
      </w:r>
      <w:r>
        <w:rPr>
          <w:rFonts w:hint="eastAsia" w:ascii="仿宋" w:hAnsi="仿宋" w:eastAsia="仿宋" w:cs="仿宋"/>
          <w:kern w:val="0"/>
          <w:szCs w:val="21"/>
        </w:rPr>
        <w:t>第i种废弃物的碳足迹因子，单位与待处置废弃物匹配。</w:t>
      </w:r>
    </w:p>
    <w:p w14:paraId="07A3EFF9">
      <w:pPr>
        <w:spacing w:line="400" w:lineRule="exact"/>
        <w:rPr>
          <w:rFonts w:ascii="仿宋" w:hAnsi="仿宋" w:eastAsia="仿宋" w:cs="仿宋"/>
        </w:rPr>
      </w:pPr>
      <w:r>
        <w:rPr>
          <w:rFonts w:hint="eastAsia" w:ascii="仿宋" w:hAnsi="仿宋" w:eastAsia="仿宋" w:cs="仿宋"/>
        </w:rPr>
        <w:t>9.3.6生产阶段工艺过程产生的温室气体排放</w:t>
      </w:r>
    </w:p>
    <w:p w14:paraId="4AD68D81">
      <w:pPr>
        <w:spacing w:line="400" w:lineRule="exact"/>
        <w:ind w:firstLine="420" w:firstLineChars="200"/>
        <w:rPr>
          <w:rFonts w:ascii="仿宋" w:hAnsi="仿宋" w:eastAsia="仿宋" w:cs="仿宋"/>
        </w:rPr>
      </w:pPr>
      <w:r>
        <w:rPr>
          <w:rFonts w:hint="eastAsia" w:ascii="仿宋" w:hAnsi="仿宋" w:eastAsia="仿宋" w:cs="仿宋"/>
        </w:rPr>
        <w:t>生产阶段工艺过程产生的温室气体排放量计算方法见公式（8）：</w:t>
      </w:r>
    </w:p>
    <w:p w14:paraId="6D46995C">
      <w:pPr>
        <w:jc w:val="center"/>
        <w:rPr>
          <w:rFonts w:ascii="仿宋" w:hAnsi="仿宋" w:eastAsia="仿宋" w:cs="仿宋"/>
        </w:rPr>
      </w:pPr>
      <w:r>
        <w:rPr>
          <w:rFonts w:hint="eastAsia" w:ascii="仿宋" w:hAnsi="仿宋" w:eastAsia="仿宋" w:cs="仿宋"/>
          <w:position w:val="-14"/>
        </w:rPr>
        <w:object>
          <v:shape id="_x0000_i1031" o:spt="75" type="#_x0000_t75" style="height:19.35pt;width:157.45pt;" o:ole="t" filled="f" o:preferrelative="t" stroked="f" coordsize="21600,21600">
            <v:path/>
            <v:fill on="f" focussize="0,0"/>
            <v:stroke on="f" joinstyle="miter"/>
            <v:imagedata r:id="rId23" o:title=""/>
            <o:lock v:ext="edit" aspectratio="t"/>
            <w10:wrap type="none"/>
            <w10:anchorlock/>
          </v:shape>
          <o:OLEObject Type="Embed" ProgID="Equation.DSMT4" ShapeID="_x0000_i1031" DrawAspect="Content" ObjectID="_1468075731" r:id="rId22">
            <o:LockedField>false</o:LockedField>
          </o:OLEObject>
        </w:object>
      </w:r>
      <w:r>
        <w:rPr>
          <w:rFonts w:hint="eastAsia" w:ascii="仿宋" w:hAnsi="仿宋" w:eastAsia="仿宋" w:cs="仿宋"/>
        </w:rPr>
        <w:t xml:space="preserve">  （8）</w:t>
      </w:r>
    </w:p>
    <w:p w14:paraId="1326AF58">
      <w:pPr>
        <w:spacing w:line="400" w:lineRule="exact"/>
        <w:rPr>
          <w:rFonts w:ascii="仿宋" w:hAnsi="仿宋" w:eastAsia="仿宋" w:cs="仿宋"/>
        </w:rPr>
      </w:pPr>
      <w:r>
        <w:rPr>
          <w:rFonts w:hint="eastAsia" w:ascii="仿宋" w:hAnsi="仿宋" w:eastAsia="仿宋" w:cs="仿宋"/>
        </w:rPr>
        <w:t>式中：</w:t>
      </w:r>
    </w:p>
    <w:p w14:paraId="5105742B">
      <w:pPr>
        <w:rPr>
          <w:rFonts w:ascii="仿宋" w:hAnsi="仿宋" w:eastAsia="仿宋" w:cs="仿宋"/>
        </w:rPr>
      </w:pPr>
      <w:r>
        <w:rPr>
          <w:rFonts w:hint="eastAsia" w:ascii="仿宋" w:hAnsi="仿宋" w:eastAsia="仿宋" w:cs="仿宋"/>
          <w:i/>
          <w:iCs/>
        </w:rPr>
        <w:t>AD</w:t>
      </w:r>
      <w:r>
        <w:rPr>
          <w:rFonts w:hint="eastAsia" w:ascii="仿宋" w:hAnsi="仿宋" w:eastAsia="仿宋" w:cs="仿宋"/>
          <w:i/>
          <w:iCs/>
          <w:vertAlign w:val="subscript"/>
        </w:rPr>
        <w:t>process,i</w:t>
      </w:r>
      <w:r>
        <w:rPr>
          <w:rFonts w:hint="eastAsia" w:ascii="仿宋" w:hAnsi="仿宋" w:eastAsia="仿宋" w:cs="仿宋"/>
          <w:i/>
          <w:iCs/>
        </w:rPr>
        <w:t>——</w:t>
      </w:r>
      <w:r>
        <w:rPr>
          <w:rFonts w:hint="eastAsia" w:ascii="仿宋" w:hAnsi="仿宋" w:eastAsia="仿宋" w:cs="仿宋"/>
        </w:rPr>
        <w:t>生产阶段工艺过程</w:t>
      </w:r>
      <w:r>
        <w:rPr>
          <w:rFonts w:hint="eastAsia" w:ascii="仿宋" w:hAnsi="仿宋" w:eastAsia="仿宋" w:cs="仿宋"/>
          <w:kern w:val="0"/>
          <w:szCs w:val="21"/>
        </w:rPr>
        <w:t>中产生温室气体的第i种原材料消耗量，单位与原材料相匹配</w:t>
      </w:r>
      <w:r>
        <w:rPr>
          <w:rFonts w:hint="eastAsia" w:ascii="仿宋" w:hAnsi="仿宋" w:eastAsia="仿宋" w:cs="仿宋"/>
        </w:rPr>
        <w:t>；</w:t>
      </w:r>
    </w:p>
    <w:p w14:paraId="3A484107">
      <w:pPr>
        <w:rPr>
          <w:rFonts w:ascii="仿宋" w:hAnsi="仿宋" w:eastAsia="仿宋" w:cs="仿宋"/>
        </w:rPr>
      </w:pPr>
      <w:r>
        <w:rPr>
          <w:rFonts w:hint="eastAsia" w:ascii="仿宋" w:hAnsi="仿宋" w:eastAsia="仿宋" w:cs="仿宋"/>
        </w:rPr>
        <w:t>ƞ</w:t>
      </w:r>
      <w:r>
        <w:rPr>
          <w:rFonts w:hint="eastAsia" w:ascii="仿宋" w:hAnsi="仿宋" w:eastAsia="仿宋" w:cs="仿宋"/>
          <w:i/>
          <w:iCs/>
        </w:rPr>
        <w:t>——</w:t>
      </w:r>
      <w:r>
        <w:rPr>
          <w:rFonts w:hint="eastAsia" w:ascii="仿宋" w:hAnsi="仿宋" w:eastAsia="仿宋" w:cs="仿宋"/>
        </w:rPr>
        <w:t>生产阶段工艺过程</w:t>
      </w:r>
      <w:r>
        <w:rPr>
          <w:rFonts w:hint="eastAsia" w:ascii="仿宋" w:hAnsi="仿宋" w:eastAsia="仿宋" w:cs="仿宋"/>
          <w:kern w:val="0"/>
          <w:szCs w:val="21"/>
        </w:rPr>
        <w:t>中产生温室气体的第i种原材料煅烧比例，单位为%；如无测量数据，可取</w:t>
      </w:r>
      <w:r>
        <w:rPr>
          <w:rFonts w:hint="eastAsia" w:ascii="仿宋" w:hAnsi="仿宋" w:eastAsia="仿宋" w:cs="仿宋"/>
        </w:rPr>
        <w:t>100%；</w:t>
      </w:r>
    </w:p>
    <w:p w14:paraId="549EA209">
      <w:r>
        <w:rPr>
          <w:rFonts w:hint="eastAsia" w:ascii="仿宋" w:hAnsi="仿宋" w:eastAsia="仿宋" w:cs="仿宋"/>
        </w:rPr>
        <w:t>EF</w:t>
      </w:r>
      <w:r>
        <w:rPr>
          <w:rFonts w:hint="eastAsia" w:ascii="仿宋" w:hAnsi="仿宋" w:eastAsia="仿宋" w:cs="仿宋"/>
          <w:i/>
          <w:iCs/>
          <w:vertAlign w:val="subscript"/>
        </w:rPr>
        <w:t>process,i</w:t>
      </w:r>
      <w:r>
        <w:rPr>
          <w:rFonts w:hint="eastAsia" w:ascii="仿宋" w:hAnsi="仿宋" w:eastAsia="仿宋" w:cs="仿宋"/>
          <w:i/>
          <w:iCs/>
        </w:rPr>
        <w:t>——</w:t>
      </w:r>
      <w:r>
        <w:rPr>
          <w:rFonts w:hint="eastAsia" w:ascii="仿宋" w:hAnsi="仿宋" w:eastAsia="仿宋" w:cs="仿宋"/>
        </w:rPr>
        <w:t>生产阶段工艺过程</w:t>
      </w:r>
      <w:r>
        <w:rPr>
          <w:rFonts w:hint="eastAsia" w:ascii="仿宋" w:hAnsi="仿宋" w:eastAsia="仿宋" w:cs="仿宋"/>
          <w:kern w:val="0"/>
          <w:szCs w:val="21"/>
        </w:rPr>
        <w:t>中第i种原材料的排放因子，单位与原材料相匹配。</w:t>
      </w:r>
    </w:p>
    <w:p w14:paraId="44CAC579">
      <w:pPr>
        <w:pStyle w:val="4"/>
        <w:spacing w:before="80"/>
        <w:rPr>
          <w:rFonts w:ascii="宋体" w:hAnsi="宋体" w:eastAsia="宋体" w:cs="宋体"/>
          <w:b/>
          <w:bCs/>
          <w:color w:val="auto"/>
          <w:sz w:val="21"/>
          <w:szCs w:val="21"/>
        </w:rPr>
      </w:pPr>
      <w:bookmarkStart w:id="52" w:name="_Toc25706"/>
      <w:r>
        <w:rPr>
          <w:rFonts w:hint="eastAsia" w:ascii="宋体" w:hAnsi="宋体" w:eastAsia="宋体" w:cs="宋体"/>
          <w:b/>
          <w:bCs/>
          <w:color w:val="auto"/>
          <w:sz w:val="21"/>
          <w:szCs w:val="21"/>
        </w:rPr>
        <w:t>9.4煤矸石制微晶玻璃运输阶段的温室气体排放量</w:t>
      </w:r>
      <w:bookmarkEnd w:id="52"/>
    </w:p>
    <w:p w14:paraId="22C33136">
      <w:pPr>
        <w:spacing w:line="400" w:lineRule="exact"/>
        <w:rPr>
          <w:rFonts w:ascii="仿宋" w:hAnsi="仿宋" w:eastAsia="仿宋" w:cs="仿宋"/>
        </w:rPr>
      </w:pPr>
      <w:r>
        <w:rPr>
          <w:rFonts w:hint="eastAsia" w:ascii="仿宋" w:hAnsi="仿宋" w:eastAsia="仿宋" w:cs="仿宋"/>
        </w:rPr>
        <w:t>适用时,用以确定工厂大门外的相关运输情况:</w:t>
      </w:r>
    </w:p>
    <w:p w14:paraId="65C82A69">
      <w:pPr>
        <w:spacing w:line="400" w:lineRule="exact"/>
        <w:rPr>
          <w:rFonts w:ascii="仿宋" w:hAnsi="仿宋" w:eastAsia="仿宋" w:cs="仿宋"/>
        </w:rPr>
      </w:pPr>
      <w:r>
        <w:rPr>
          <w:rFonts w:hint="eastAsia" w:ascii="仿宋" w:hAnsi="仿宋" w:eastAsia="仿宋" w:cs="仿宋"/>
        </w:rPr>
        <w:t>--运输类型；</w:t>
      </w:r>
    </w:p>
    <w:p w14:paraId="34A0AB58">
      <w:pPr>
        <w:spacing w:line="400" w:lineRule="exact"/>
        <w:rPr>
          <w:rFonts w:ascii="仿宋" w:hAnsi="仿宋" w:eastAsia="仿宋" w:cs="仿宋"/>
        </w:rPr>
      </w:pPr>
      <w:r>
        <w:rPr>
          <w:rFonts w:hint="eastAsia" w:ascii="仿宋" w:hAnsi="仿宋" w:eastAsia="仿宋" w:cs="仿宋"/>
        </w:rPr>
        <w:t>--运输车辆类型;</w:t>
      </w:r>
    </w:p>
    <w:p w14:paraId="7BB2A3F1">
      <w:pPr>
        <w:spacing w:line="400" w:lineRule="exact"/>
        <w:rPr>
          <w:rFonts w:ascii="仿宋" w:hAnsi="仿宋" w:eastAsia="仿宋" w:cs="仿宋"/>
        </w:rPr>
      </w:pPr>
      <w:r>
        <w:rPr>
          <w:rFonts w:hint="eastAsia" w:ascii="仿宋" w:hAnsi="仿宋" w:eastAsia="仿宋" w:cs="仿宋"/>
        </w:rPr>
        <w:t>--运输距离;</w:t>
      </w:r>
    </w:p>
    <w:p w14:paraId="71737A5A">
      <w:pPr>
        <w:spacing w:line="400" w:lineRule="exact"/>
        <w:rPr>
          <w:rFonts w:ascii="仿宋" w:hAnsi="仿宋" w:eastAsia="仿宋" w:cs="仿宋"/>
        </w:rPr>
      </w:pPr>
      <w:r>
        <w:rPr>
          <w:rFonts w:hint="eastAsia" w:ascii="仿宋" w:hAnsi="仿宋" w:eastAsia="仿宋" w:cs="仿宋"/>
        </w:rPr>
        <w:t>--能量载体的类型与数量。</w:t>
      </w:r>
    </w:p>
    <w:p w14:paraId="7A339804">
      <w:pPr>
        <w:pStyle w:val="4"/>
        <w:spacing w:before="80"/>
        <w:rPr>
          <w:rFonts w:ascii="宋体" w:hAnsi="宋体" w:eastAsia="宋体" w:cs="宋体"/>
          <w:b/>
          <w:bCs/>
          <w:color w:val="auto"/>
          <w:sz w:val="21"/>
          <w:szCs w:val="21"/>
        </w:rPr>
      </w:pPr>
      <w:bookmarkStart w:id="53" w:name="_Toc7294"/>
      <w:r>
        <w:rPr>
          <w:rFonts w:hint="eastAsia" w:ascii="宋体" w:hAnsi="宋体" w:eastAsia="宋体" w:cs="宋体"/>
          <w:b/>
          <w:bCs/>
          <w:color w:val="auto"/>
          <w:sz w:val="21"/>
          <w:szCs w:val="21"/>
        </w:rPr>
        <w:t>9.5使用阶段</w:t>
      </w:r>
      <w:bookmarkEnd w:id="53"/>
    </w:p>
    <w:p w14:paraId="5B4EB439">
      <w:pPr>
        <w:spacing w:line="400" w:lineRule="exact"/>
        <w:rPr>
          <w:rFonts w:ascii="仿宋" w:hAnsi="仿宋" w:eastAsia="仿宋" w:cs="仿宋"/>
        </w:rPr>
      </w:pPr>
      <w:r>
        <w:rPr>
          <w:rFonts w:hint="eastAsia" w:ascii="仿宋" w:hAnsi="仿宋" w:eastAsia="仿宋" w:cs="仿宋"/>
        </w:rPr>
        <w:t>适用时,用以确定支持基于建筑工程背景评估的相关模块的情景假设开发:</w:t>
      </w:r>
    </w:p>
    <w:p w14:paraId="281A92C3">
      <w:pPr>
        <w:spacing w:line="400" w:lineRule="exact"/>
        <w:rPr>
          <w:rFonts w:ascii="仿宋" w:hAnsi="仿宋" w:eastAsia="仿宋" w:cs="仿宋"/>
        </w:rPr>
      </w:pPr>
      <w:r>
        <w:rPr>
          <w:rFonts w:hint="eastAsia" w:ascii="仿宋" w:hAnsi="仿宋" w:eastAsia="仿宋" w:cs="仿宋"/>
        </w:rPr>
        <w:t>--向周围空气、土壤和水体的直接排放;</w:t>
      </w:r>
    </w:p>
    <w:p w14:paraId="685A7575">
      <w:pPr>
        <w:spacing w:line="400" w:lineRule="exact"/>
        <w:rPr>
          <w:rFonts w:ascii="仿宋" w:hAnsi="仿宋" w:eastAsia="仿宋" w:cs="仿宋"/>
        </w:rPr>
      </w:pPr>
      <w:r>
        <w:rPr>
          <w:rFonts w:hint="eastAsia" w:ascii="仿宋" w:hAnsi="仿宋" w:eastAsia="仿宋" w:cs="仿宋"/>
        </w:rPr>
        <w:t>--关于维护、维修、更换或翻新过程的说明,或如何找到该说明的索引；</w:t>
      </w:r>
    </w:p>
    <w:p w14:paraId="0EAA5856">
      <w:pPr>
        <w:spacing w:line="400" w:lineRule="exact"/>
        <w:rPr>
          <w:rFonts w:ascii="仿宋" w:hAnsi="仿宋" w:eastAsia="仿宋" w:cs="仿宋"/>
        </w:rPr>
      </w:pPr>
      <w:r>
        <w:rPr>
          <w:rFonts w:hint="eastAsia" w:ascii="仿宋" w:hAnsi="仿宋" w:eastAsia="仿宋" w:cs="仿宋"/>
        </w:rPr>
        <w:t>--在建筑工程参考使用寿命或要求使用寿命期间,涉及的维护、维修、更换或翻新周期的数量:涉及的辅助材料类型(如清洁剂、其他特定材料)及数量:关于维护、维修、更换或翻新过程中涉及能源使用情况的说明,如能量载体类型(如电力)及其数量的定量描述(适用时);</w:t>
      </w:r>
    </w:p>
    <w:p w14:paraId="53E3A852">
      <w:pPr>
        <w:spacing w:line="400" w:lineRule="exact"/>
        <w:rPr>
          <w:rFonts w:ascii="仿宋" w:hAnsi="仿宋" w:eastAsia="仿宋" w:cs="仿宋"/>
        </w:rPr>
      </w:pPr>
      <w:r>
        <w:rPr>
          <w:rFonts w:hint="eastAsia" w:ascii="仿宋" w:hAnsi="仿宋" w:eastAsia="仿宋" w:cs="仿宋"/>
        </w:rPr>
        <w:t>--关于维护、维修、更换或翻新过程中涉及用水情况的说明,包括水的类型及使用量的定量描述,如水的来源、使用量及流向(蒸发量、排污量等):来自维护、维修,更换或翻新过程的输出,包括系统边界内有关回收过程的情景假设中所包含的任何废物处理。</w:t>
      </w:r>
    </w:p>
    <w:p w14:paraId="335A2745">
      <w:pPr>
        <w:pStyle w:val="4"/>
        <w:spacing w:before="80"/>
        <w:rPr>
          <w:rFonts w:ascii="宋体" w:hAnsi="宋体" w:eastAsia="宋体" w:cs="宋体"/>
          <w:b/>
          <w:bCs/>
          <w:color w:val="auto"/>
          <w:sz w:val="21"/>
          <w:szCs w:val="21"/>
        </w:rPr>
      </w:pPr>
      <w:bookmarkStart w:id="54" w:name="_Toc10841"/>
      <w:r>
        <w:rPr>
          <w:rFonts w:hint="eastAsia" w:ascii="宋体" w:hAnsi="宋体" w:eastAsia="宋体" w:cs="宋体"/>
          <w:b/>
          <w:bCs/>
          <w:color w:val="auto"/>
          <w:sz w:val="21"/>
          <w:szCs w:val="21"/>
        </w:rPr>
        <w:t>9.6生命末期阶段</w:t>
      </w:r>
      <w:bookmarkEnd w:id="54"/>
    </w:p>
    <w:p w14:paraId="18D9BD38">
      <w:pPr>
        <w:spacing w:line="400" w:lineRule="exact"/>
        <w:rPr>
          <w:rFonts w:ascii="仿宋" w:hAnsi="仿宋" w:eastAsia="仿宋" w:cs="仿宋"/>
        </w:rPr>
      </w:pPr>
      <w:r>
        <w:rPr>
          <w:rFonts w:hint="eastAsia" w:ascii="仿宋" w:hAnsi="仿宋" w:eastAsia="仿宋" w:cs="仿宋"/>
        </w:rPr>
        <w:t>适用时,用以确定该阶段各子阶段的情景假设:</w:t>
      </w:r>
    </w:p>
    <w:p w14:paraId="322E6C02">
      <w:pPr>
        <w:spacing w:line="400" w:lineRule="exact"/>
        <w:rPr>
          <w:rFonts w:ascii="仿宋" w:hAnsi="仿宋" w:eastAsia="仿宋" w:cs="仿宋"/>
        </w:rPr>
      </w:pPr>
      <w:r>
        <w:rPr>
          <w:rFonts w:hint="eastAsia" w:ascii="仿宋" w:hAnsi="仿宋" w:eastAsia="仿宋" w:cs="仿宋"/>
        </w:rPr>
        <w:t>--建立情景假设的相关预设参数,如关于拆解、循环、能量回收和最终处置方法的描述;收集情况、循环率和/或回收率、能源转化效率(适用时)</w:t>
      </w:r>
    </w:p>
    <w:p w14:paraId="49D91BFE">
      <w:pPr>
        <w:pStyle w:val="4"/>
        <w:spacing w:before="80"/>
        <w:rPr>
          <w:rFonts w:ascii="宋体" w:hAnsi="宋体" w:eastAsia="宋体" w:cs="宋体"/>
          <w:b/>
          <w:bCs/>
          <w:color w:val="auto"/>
          <w:sz w:val="21"/>
          <w:szCs w:val="21"/>
        </w:rPr>
      </w:pPr>
      <w:bookmarkStart w:id="55" w:name="_Toc20661"/>
      <w:r>
        <w:rPr>
          <w:rFonts w:hint="eastAsia" w:ascii="宋体" w:hAnsi="宋体" w:eastAsia="宋体" w:cs="宋体"/>
          <w:b/>
          <w:bCs/>
          <w:color w:val="auto"/>
          <w:sz w:val="21"/>
          <w:szCs w:val="21"/>
        </w:rPr>
        <w:t>9.7 通则</w:t>
      </w:r>
      <w:bookmarkEnd w:id="55"/>
    </w:p>
    <w:p w14:paraId="763FBC98">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煤矸石制微晶玻璃碳足迹为系统边界内各单元过程温室气体排放量和清除量之和，单位为吨二氧化碳当量</w:t>
      </w:r>
      <w:r>
        <w:rPr>
          <w:rFonts w:hint="eastAsia" w:ascii="仿宋" w:hAnsi="仿宋" w:eastAsia="仿宋" w:cs="仿宋"/>
        </w:rPr>
        <w:t>（tCO</w:t>
      </w:r>
      <w:r>
        <w:rPr>
          <w:rFonts w:hint="eastAsia" w:ascii="仿宋" w:hAnsi="仿宋" w:eastAsia="仿宋" w:cs="仿宋"/>
          <w:vertAlign w:val="subscript"/>
        </w:rPr>
        <w:t>2</w:t>
      </w:r>
      <w:r>
        <w:rPr>
          <w:rFonts w:hint="eastAsia" w:ascii="仿宋" w:hAnsi="仿宋" w:eastAsia="仿宋" w:cs="仿宋"/>
        </w:rPr>
        <w:t>e/t）；</w:t>
      </w:r>
      <w:r>
        <w:rPr>
          <w:rFonts w:hint="eastAsia" w:ascii="仿宋" w:hAnsi="仿宋" w:eastAsia="仿宋" w:cs="仿宋"/>
          <w:kern w:val="0"/>
          <w:szCs w:val="21"/>
        </w:rPr>
        <w:t>核算方法见公式（1）：</w:t>
      </w:r>
    </w:p>
    <w:p w14:paraId="6C67C96E">
      <w:pPr>
        <w:tabs>
          <w:tab w:val="left" w:pos="2520"/>
          <w:tab w:val="left" w:pos="7655"/>
          <w:tab w:val="left" w:pos="7797"/>
        </w:tabs>
        <w:spacing w:line="400" w:lineRule="exact"/>
        <w:jc w:val="center"/>
        <w:rPr>
          <w:rFonts w:ascii="仿宋" w:hAnsi="仿宋" w:eastAsia="仿宋" w:cs="仿宋"/>
        </w:rPr>
      </w:pPr>
      <w:r>
        <w:rPr>
          <w:rFonts w:hint="eastAsia" w:ascii="仿宋" w:hAnsi="仿宋" w:eastAsia="仿宋" w:cs="仿宋"/>
          <w:position w:val="-14"/>
        </w:rPr>
        <w:object>
          <v:shape id="_x0000_i1032" o:spt="75" type="#_x0000_t75" style="height:19.35pt;width:145.6pt;" o:ole="t" filled="f" o:preferrelative="t" stroked="f" coordsize="21600,21600">
            <v:path/>
            <v:fill on="f" focussize="0,0"/>
            <v:stroke on="f" joinstyle="miter"/>
            <v:imagedata r:id="rId25" o:title=""/>
            <o:lock v:ext="edit" aspectratio="t"/>
            <w10:wrap type="none"/>
            <w10:anchorlock/>
          </v:shape>
          <o:OLEObject Type="Embed" ProgID="Equation.DSMT4" ShapeID="_x0000_i1032" DrawAspect="Content" ObjectID="_1468075732" r:id="rId24">
            <o:LockedField>false</o:LockedField>
          </o:OLEObject>
        </w:object>
      </w:r>
      <w:r>
        <w:rPr>
          <w:rFonts w:hint="eastAsia" w:ascii="仿宋" w:hAnsi="仿宋" w:eastAsia="仿宋" w:cs="仿宋"/>
        </w:rPr>
        <w:t xml:space="preserve">  （1）</w:t>
      </w:r>
    </w:p>
    <w:p w14:paraId="5152BB37">
      <w:pPr>
        <w:tabs>
          <w:tab w:val="left" w:pos="7797"/>
        </w:tabs>
        <w:spacing w:line="400" w:lineRule="exact"/>
        <w:rPr>
          <w:rFonts w:ascii="仿宋" w:hAnsi="仿宋" w:eastAsia="仿宋" w:cs="仿宋"/>
        </w:rPr>
      </w:pPr>
      <w:r>
        <w:rPr>
          <w:rFonts w:hint="eastAsia" w:ascii="仿宋" w:hAnsi="仿宋" w:eastAsia="仿宋" w:cs="仿宋"/>
          <w:kern w:val="0"/>
          <w:szCs w:val="21"/>
        </w:rPr>
        <w:t>式中：</w:t>
      </w:r>
    </w:p>
    <w:p w14:paraId="58F2B58C">
      <w:pPr>
        <w:spacing w:line="400" w:lineRule="exact"/>
        <w:rPr>
          <w:rFonts w:ascii="仿宋" w:hAnsi="仿宋" w:eastAsia="仿宋" w:cs="仿宋"/>
        </w:rPr>
      </w:pPr>
      <w:r>
        <w:rPr>
          <w:rFonts w:hint="eastAsia" w:ascii="仿宋" w:hAnsi="仿宋" w:eastAsia="仿宋" w:cs="仿宋"/>
          <w:i/>
          <w:iCs/>
        </w:rPr>
        <w:t>CFP</w:t>
      </w:r>
      <w:r>
        <w:rPr>
          <w:rFonts w:hint="eastAsia" w:ascii="仿宋" w:hAnsi="仿宋" w:eastAsia="仿宋" w:cs="仿宋"/>
          <w:i/>
          <w:iCs/>
          <w:vertAlign w:val="subscript"/>
        </w:rPr>
        <w:t>GHG</w:t>
      </w:r>
      <w:r>
        <w:rPr>
          <w:rFonts w:hint="eastAsia" w:ascii="仿宋" w:hAnsi="仿宋" w:eastAsia="仿宋" w:cs="仿宋"/>
          <w:i/>
          <w:iCs/>
        </w:rPr>
        <w:t>——</w:t>
      </w:r>
      <w:r>
        <w:rPr>
          <w:rFonts w:hint="eastAsia" w:ascii="仿宋" w:hAnsi="仿宋" w:eastAsia="仿宋" w:cs="仿宋"/>
          <w:kern w:val="0"/>
          <w:szCs w:val="21"/>
        </w:rPr>
        <w:t>煤矸石制微晶玻璃碳足迹，单位为吨二氧化碳当量每吨</w:t>
      </w:r>
      <w:r>
        <w:rPr>
          <w:rFonts w:hint="eastAsia" w:ascii="仿宋" w:hAnsi="仿宋" w:eastAsia="仿宋" w:cs="仿宋"/>
        </w:rPr>
        <w:t>（tCO</w:t>
      </w:r>
      <w:r>
        <w:rPr>
          <w:rFonts w:hint="eastAsia" w:ascii="仿宋" w:hAnsi="仿宋" w:eastAsia="仿宋" w:cs="仿宋"/>
          <w:vertAlign w:val="subscript"/>
        </w:rPr>
        <w:t>2</w:t>
      </w:r>
      <w:r>
        <w:rPr>
          <w:rFonts w:hint="eastAsia" w:ascii="仿宋" w:hAnsi="仿宋" w:eastAsia="仿宋" w:cs="仿宋"/>
        </w:rPr>
        <w:t>e/t）；</w:t>
      </w:r>
    </w:p>
    <w:p w14:paraId="1E8DD886">
      <w:pPr>
        <w:spacing w:line="400" w:lineRule="exact"/>
        <w:rPr>
          <w:rFonts w:ascii="仿宋" w:hAnsi="仿宋" w:eastAsia="仿宋" w:cs="仿宋"/>
        </w:rPr>
      </w:pPr>
      <w:r>
        <w:rPr>
          <w:rFonts w:hint="eastAsia" w:ascii="仿宋" w:hAnsi="仿宋" w:eastAsia="仿宋" w:cs="仿宋"/>
          <w:i/>
          <w:iCs/>
        </w:rPr>
        <w:t>E</w:t>
      </w:r>
      <w:r>
        <w:rPr>
          <w:rFonts w:hint="eastAsia" w:ascii="仿宋" w:hAnsi="仿宋" w:eastAsia="仿宋" w:cs="仿宋"/>
          <w:i/>
          <w:iCs/>
          <w:vertAlign w:val="subscript"/>
        </w:rPr>
        <w:t>ARM</w:t>
      </w:r>
      <w:r>
        <w:rPr>
          <w:rFonts w:hint="eastAsia" w:ascii="仿宋" w:hAnsi="仿宋" w:eastAsia="仿宋" w:cs="仿宋"/>
        </w:rPr>
        <w:t>——</w:t>
      </w:r>
      <w:r>
        <w:rPr>
          <w:rFonts w:hint="eastAsia" w:ascii="仿宋" w:hAnsi="仿宋" w:eastAsia="仿宋" w:cs="仿宋"/>
          <w:kern w:val="0"/>
          <w:szCs w:val="21"/>
        </w:rPr>
        <w:t>原材料获取阶段温室气体排放量，单位为吨二氧化碳当量</w:t>
      </w:r>
      <w:r>
        <w:rPr>
          <w:rFonts w:hint="eastAsia" w:ascii="仿宋" w:hAnsi="仿宋" w:eastAsia="仿宋" w:cs="仿宋"/>
        </w:rPr>
        <w:t>（tCO</w:t>
      </w:r>
      <w:r>
        <w:rPr>
          <w:rFonts w:hint="eastAsia" w:ascii="仿宋" w:hAnsi="仿宋" w:eastAsia="仿宋" w:cs="仿宋"/>
          <w:vertAlign w:val="subscript"/>
        </w:rPr>
        <w:t>2</w:t>
      </w:r>
      <w:r>
        <w:rPr>
          <w:rFonts w:hint="eastAsia" w:ascii="仿宋" w:hAnsi="仿宋" w:eastAsia="仿宋" w:cs="仿宋"/>
        </w:rPr>
        <w:t>e）；</w:t>
      </w:r>
    </w:p>
    <w:p w14:paraId="3A6AEE24">
      <w:pPr>
        <w:spacing w:line="400" w:lineRule="exact"/>
        <w:rPr>
          <w:rFonts w:ascii="仿宋" w:hAnsi="仿宋" w:eastAsia="仿宋" w:cs="仿宋"/>
        </w:rPr>
      </w:pPr>
      <w:r>
        <w:rPr>
          <w:rFonts w:hint="eastAsia" w:ascii="仿宋" w:hAnsi="仿宋" w:eastAsia="仿宋" w:cs="仿宋"/>
          <w:i/>
          <w:iCs/>
        </w:rPr>
        <w:t>E</w:t>
      </w:r>
      <w:r>
        <w:rPr>
          <w:rFonts w:hint="eastAsia" w:ascii="仿宋" w:hAnsi="仿宋" w:eastAsia="仿宋" w:cs="仿宋"/>
          <w:i/>
          <w:iCs/>
          <w:vertAlign w:val="subscript"/>
        </w:rPr>
        <w:t>Manuf</w:t>
      </w:r>
      <w:r>
        <w:rPr>
          <w:rFonts w:hint="eastAsia" w:ascii="仿宋" w:hAnsi="仿宋" w:eastAsia="仿宋" w:cs="仿宋"/>
        </w:rPr>
        <w:t>——</w:t>
      </w:r>
      <w:r>
        <w:rPr>
          <w:rFonts w:hint="eastAsia" w:ascii="仿宋" w:hAnsi="仿宋" w:eastAsia="仿宋" w:cs="仿宋"/>
          <w:kern w:val="0"/>
          <w:szCs w:val="21"/>
        </w:rPr>
        <w:t>煤矸石制微晶玻璃生产阶段的温室气体排放量，单位为吨二氧化碳当量</w:t>
      </w:r>
      <w:r>
        <w:rPr>
          <w:rFonts w:hint="eastAsia" w:ascii="仿宋" w:hAnsi="仿宋" w:eastAsia="仿宋" w:cs="仿宋"/>
        </w:rPr>
        <w:t>（tCO</w:t>
      </w:r>
      <w:r>
        <w:rPr>
          <w:rFonts w:hint="eastAsia" w:ascii="仿宋" w:hAnsi="仿宋" w:eastAsia="仿宋" w:cs="仿宋"/>
          <w:vertAlign w:val="subscript"/>
        </w:rPr>
        <w:t>2</w:t>
      </w:r>
      <w:r>
        <w:rPr>
          <w:rFonts w:hint="eastAsia" w:ascii="仿宋" w:hAnsi="仿宋" w:eastAsia="仿宋" w:cs="仿宋"/>
        </w:rPr>
        <w:t>e）。</w:t>
      </w:r>
    </w:p>
    <w:p w14:paraId="6436CCB5">
      <w:pPr>
        <w:spacing w:line="400" w:lineRule="exact"/>
        <w:rPr>
          <w:rFonts w:ascii="仿宋" w:hAnsi="仿宋" w:eastAsia="仿宋" w:cs="仿宋"/>
        </w:rPr>
      </w:pPr>
      <w:r>
        <w:rPr>
          <w:rFonts w:hint="eastAsia" w:ascii="仿宋" w:hAnsi="仿宋" w:eastAsia="仿宋" w:cs="仿宋"/>
          <w:i/>
          <w:iCs/>
        </w:rPr>
        <w:t>Q</w:t>
      </w:r>
      <w:r>
        <w:rPr>
          <w:rFonts w:hint="eastAsia" w:ascii="仿宋" w:hAnsi="仿宋" w:eastAsia="仿宋" w:cs="仿宋"/>
        </w:rPr>
        <w:t>——</w:t>
      </w:r>
      <w:r>
        <w:rPr>
          <w:rFonts w:hint="eastAsia" w:ascii="仿宋" w:hAnsi="仿宋" w:eastAsia="仿宋" w:cs="仿宋"/>
          <w:kern w:val="0"/>
          <w:szCs w:val="21"/>
        </w:rPr>
        <w:t>煤矸石制微晶玻璃产量，单位为吨</w:t>
      </w:r>
      <w:r>
        <w:rPr>
          <w:rFonts w:hint="eastAsia" w:ascii="仿宋" w:hAnsi="仿宋" w:eastAsia="仿宋" w:cs="仿宋"/>
        </w:rPr>
        <w:t>（t）。</w:t>
      </w:r>
    </w:p>
    <w:bookmarkEnd w:id="44"/>
    <w:bookmarkEnd w:id="45"/>
    <w:p w14:paraId="49464E8B">
      <w:pPr>
        <w:pStyle w:val="3"/>
        <w:spacing w:before="80"/>
        <w:rPr>
          <w:rFonts w:ascii="宋体" w:hAnsi="宋体" w:eastAsia="宋体" w:cs="宋体"/>
          <w:b/>
          <w:bCs/>
          <w:color w:val="auto"/>
          <w:sz w:val="21"/>
          <w:szCs w:val="21"/>
        </w:rPr>
      </w:pPr>
      <w:bookmarkStart w:id="56" w:name="_Toc22349"/>
      <w:r>
        <w:rPr>
          <w:rFonts w:hint="eastAsia" w:ascii="宋体" w:hAnsi="宋体" w:eastAsia="宋体" w:cs="宋体"/>
          <w:b/>
          <w:bCs/>
          <w:color w:val="auto"/>
          <w:sz w:val="21"/>
          <w:szCs w:val="21"/>
        </w:rPr>
        <w:t>10.结果解释</w:t>
      </w:r>
      <w:bookmarkEnd w:id="56"/>
    </w:p>
    <w:p w14:paraId="1F248DE5">
      <w:pPr>
        <w:pStyle w:val="4"/>
        <w:spacing w:before="80"/>
        <w:rPr>
          <w:rFonts w:ascii="宋体" w:hAnsi="宋体" w:eastAsia="宋体" w:cs="宋体"/>
          <w:b/>
          <w:bCs/>
          <w:color w:val="auto"/>
          <w:sz w:val="21"/>
          <w:szCs w:val="21"/>
        </w:rPr>
      </w:pPr>
      <w:bookmarkStart w:id="57" w:name="_Toc23085"/>
      <w:r>
        <w:rPr>
          <w:rFonts w:hint="eastAsia" w:ascii="宋体" w:hAnsi="宋体" w:eastAsia="宋体" w:cs="宋体"/>
          <w:b/>
          <w:bCs/>
          <w:color w:val="auto"/>
          <w:sz w:val="21"/>
          <w:szCs w:val="21"/>
        </w:rPr>
        <w:t>10.1 解释步骤</w:t>
      </w:r>
      <w:bookmarkEnd w:id="57"/>
    </w:p>
    <w:p w14:paraId="58232928">
      <w:pPr>
        <w:spacing w:line="400" w:lineRule="exact"/>
        <w:ind w:firstLine="420" w:firstLineChars="200"/>
        <w:rPr>
          <w:rFonts w:ascii="仿宋" w:hAnsi="仿宋" w:eastAsia="仿宋" w:cs="仿宋"/>
        </w:rPr>
      </w:pPr>
      <w:r>
        <w:rPr>
          <w:rFonts w:hint="eastAsia" w:ascii="仿宋" w:hAnsi="仿宋" w:eastAsia="仿宋" w:cs="仿宋"/>
        </w:rPr>
        <w:t>煤矸石制微晶玻璃碳足迹量化结果解释应包括以下步骤：</w:t>
      </w:r>
    </w:p>
    <w:p w14:paraId="52C8FCF7">
      <w:pPr>
        <w:spacing w:line="400" w:lineRule="exact"/>
        <w:ind w:firstLine="420" w:firstLineChars="200"/>
        <w:rPr>
          <w:rFonts w:ascii="仿宋" w:hAnsi="仿宋" w:eastAsia="仿宋" w:cs="仿宋"/>
        </w:rPr>
      </w:pPr>
      <w:r>
        <w:rPr>
          <w:rFonts w:hint="eastAsia" w:ascii="仿宋" w:hAnsi="仿宋" w:eastAsia="仿宋" w:cs="仿宋"/>
        </w:rPr>
        <w:t>a）根据煤矸石制微晶玻璃碳足迹的清单分析和碳足迹影响评价的量化结果，识别显著环节（可包括生产阶段、过程或物质流、能量流）；</w:t>
      </w:r>
    </w:p>
    <w:p w14:paraId="21159CB6">
      <w:pPr>
        <w:spacing w:line="400" w:lineRule="exact"/>
        <w:ind w:firstLine="420" w:firstLineChars="200"/>
        <w:rPr>
          <w:rFonts w:ascii="仿宋" w:hAnsi="仿宋" w:eastAsia="仿宋" w:cs="仿宋"/>
        </w:rPr>
      </w:pPr>
      <w:r>
        <w:rPr>
          <w:rFonts w:hint="eastAsia" w:ascii="仿宋" w:hAnsi="仿宋" w:eastAsia="仿宋" w:cs="仿宋"/>
        </w:rPr>
        <w:t>b）完整性、一致性和敏感性分析的评估；</w:t>
      </w:r>
    </w:p>
    <w:p w14:paraId="311876D6">
      <w:pPr>
        <w:spacing w:line="400" w:lineRule="exact"/>
        <w:ind w:firstLine="420" w:firstLineChars="200"/>
        <w:rPr>
          <w:rFonts w:ascii="仿宋" w:hAnsi="仿宋" w:eastAsia="仿宋" w:cs="仿宋"/>
        </w:rPr>
      </w:pPr>
      <w:r>
        <w:rPr>
          <w:rFonts w:hint="eastAsia" w:ascii="仿宋" w:hAnsi="仿宋" w:eastAsia="仿宋" w:cs="仿宋"/>
        </w:rPr>
        <w:t>c）结论、局限性和建议的编制。</w:t>
      </w:r>
    </w:p>
    <w:p w14:paraId="1C0ECFED">
      <w:pPr>
        <w:pStyle w:val="4"/>
        <w:spacing w:before="80"/>
        <w:rPr>
          <w:rFonts w:ascii="宋体" w:hAnsi="宋体" w:eastAsia="宋体" w:cs="宋体"/>
          <w:b/>
          <w:bCs/>
          <w:color w:val="auto"/>
          <w:sz w:val="21"/>
          <w:szCs w:val="21"/>
        </w:rPr>
      </w:pPr>
      <w:bookmarkStart w:id="58" w:name="_Toc17028"/>
      <w:r>
        <w:rPr>
          <w:rFonts w:hint="eastAsia" w:ascii="宋体" w:hAnsi="宋体" w:eastAsia="宋体" w:cs="宋体"/>
          <w:b/>
          <w:bCs/>
          <w:color w:val="auto"/>
          <w:sz w:val="21"/>
          <w:szCs w:val="21"/>
        </w:rPr>
        <w:t>10.2 解释内容</w:t>
      </w:r>
      <w:bookmarkEnd w:id="58"/>
    </w:p>
    <w:p w14:paraId="43A9CA79">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应根据煤矸石制微晶玻璃碳足迹研究目的和范围进行结果解释，解释应包括以下内容：</w:t>
      </w:r>
    </w:p>
    <w:p w14:paraId="021CCB37">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a）说明煤矸石制微晶玻璃碳足迹；</w:t>
      </w:r>
    </w:p>
    <w:p w14:paraId="19370DAE">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b）分析不确定性，包括取舍准则的应用或范围；</w:t>
      </w:r>
    </w:p>
    <w:p w14:paraId="54DC1B7D">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c）详细记录选定的分配程序；</w:t>
      </w:r>
    </w:p>
    <w:p w14:paraId="0D14D4B7">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d）说明煤矸石制微晶玻璃碳足迹研究的局限性。</w:t>
      </w:r>
    </w:p>
    <w:p w14:paraId="68E34DDA">
      <w:pPr>
        <w:spacing w:line="400" w:lineRule="exact"/>
        <w:ind w:firstLine="420" w:firstLineChars="200"/>
        <w:rPr>
          <w:rFonts w:ascii="仿宋" w:hAnsi="仿宋" w:eastAsia="仿宋" w:cs="仿宋"/>
        </w:rPr>
      </w:pPr>
      <w:r>
        <w:rPr>
          <w:rFonts w:hint="eastAsia" w:ascii="仿宋" w:hAnsi="仿宋" w:eastAsia="仿宋" w:cs="仿宋"/>
        </w:rPr>
        <w:t>结果解释宜包括以下内容：</w:t>
      </w:r>
    </w:p>
    <w:p w14:paraId="2226DF80">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a）分析重要输入、输出和方法学选择（包括分配程序）的敏感性，以了解结果的敏感性和不确定性；</w:t>
      </w:r>
    </w:p>
    <w:p w14:paraId="0825E005">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b）评估替代使用情景对最终结果的影响评价；</w:t>
      </w:r>
    </w:p>
    <w:p w14:paraId="425C8CDB">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c）评估不同生命末期阶段情景对最终结果的影响评价；</w:t>
      </w:r>
    </w:p>
    <w:p w14:paraId="7DC6B374">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d）评估建议对结果的影响；</w:t>
      </w:r>
    </w:p>
    <w:p w14:paraId="2E856F64">
      <w:pPr>
        <w:spacing w:line="400" w:lineRule="exact"/>
        <w:ind w:firstLine="420" w:firstLineChars="200"/>
        <w:rPr>
          <w:rFonts w:ascii="仿宋" w:hAnsi="仿宋" w:eastAsia="仿宋" w:cs="仿宋"/>
          <w:kern w:val="0"/>
          <w:szCs w:val="21"/>
        </w:rPr>
      </w:pPr>
      <w:r>
        <w:rPr>
          <w:rFonts w:hint="eastAsia" w:ascii="仿宋" w:hAnsi="仿宋" w:eastAsia="仿宋" w:cs="仿宋"/>
          <w:kern w:val="0"/>
          <w:szCs w:val="21"/>
        </w:rPr>
        <w:t>e）描述地理格网的划分方法及地理格网的尺度要求原则(如适用)。</w:t>
      </w:r>
    </w:p>
    <w:p w14:paraId="3C7987DE">
      <w:pPr>
        <w:rPr>
          <w:rFonts w:ascii="宋体" w:hAnsi="宋体" w:eastAsia="宋体" w:cs="宋体"/>
          <w:b/>
          <w:bCs/>
          <w:szCs w:val="21"/>
        </w:rPr>
      </w:pPr>
      <w:r>
        <w:rPr>
          <w:rFonts w:ascii="宋体" w:hAnsi="宋体" w:eastAsia="宋体" w:cs="宋体"/>
          <w:b/>
          <w:bCs/>
          <w:szCs w:val="21"/>
        </w:rPr>
        <w:t>11 碳足迹报告</w:t>
      </w:r>
      <w:r>
        <w:rPr>
          <w:rFonts w:hint="eastAsia" w:ascii="宋体" w:hAnsi="宋体" w:eastAsia="宋体" w:cs="宋体"/>
          <w:b/>
          <w:bCs/>
          <w:szCs w:val="21"/>
        </w:rPr>
        <w:t>（参考GB_T 45540-2025）</w:t>
      </w:r>
    </w:p>
    <w:p w14:paraId="5C416EA7">
      <w:pPr>
        <w:rPr>
          <w:rFonts w:ascii="宋体" w:hAnsi="宋体" w:eastAsia="宋体" w:cs="宋体"/>
          <w:b/>
          <w:bCs/>
          <w:szCs w:val="21"/>
        </w:rPr>
      </w:pPr>
      <w:r>
        <w:rPr>
          <w:rFonts w:hint="eastAsia" w:ascii="宋体" w:hAnsi="宋体" w:eastAsia="宋体" w:cs="宋体"/>
          <w:b/>
          <w:bCs/>
          <w:szCs w:val="21"/>
        </w:rPr>
        <w:t>11.1报告内容</w:t>
      </w:r>
    </w:p>
    <w:p w14:paraId="0E5F6DC2">
      <w:pPr>
        <w:rPr>
          <w:rFonts w:ascii="仿宋" w:hAnsi="仿宋" w:eastAsia="仿宋" w:cs="仿宋"/>
          <w:szCs w:val="21"/>
        </w:rPr>
      </w:pPr>
      <w:r>
        <w:rPr>
          <w:rFonts w:hint="eastAsia" w:ascii="仿宋" w:hAnsi="仿宋" w:eastAsia="仿宋" w:cs="仿宋"/>
          <w:szCs w:val="21"/>
        </w:rPr>
        <w:t>详见附录4</w:t>
      </w:r>
    </w:p>
    <w:p w14:paraId="3CC0C52E">
      <w:pPr>
        <w:rPr>
          <w:rFonts w:ascii="宋体" w:hAnsi="宋体" w:eastAsia="宋体" w:cs="宋体"/>
          <w:b/>
          <w:bCs/>
          <w:szCs w:val="21"/>
        </w:rPr>
      </w:pPr>
      <w:r>
        <w:rPr>
          <w:rFonts w:hint="eastAsia" w:ascii="宋体" w:hAnsi="宋体" w:eastAsia="宋体" w:cs="宋体"/>
          <w:b/>
          <w:bCs/>
          <w:szCs w:val="21"/>
        </w:rPr>
        <w:t>11.2报告模板</w:t>
      </w:r>
    </w:p>
    <w:p w14:paraId="6B8C9BE0">
      <w:pPr>
        <w:rPr>
          <w:rFonts w:ascii="仿宋" w:hAnsi="仿宋" w:eastAsia="仿宋" w:cs="仿宋"/>
          <w:szCs w:val="21"/>
        </w:rPr>
      </w:pPr>
      <w:r>
        <w:rPr>
          <w:rFonts w:hint="eastAsia" w:ascii="仿宋" w:hAnsi="仿宋" w:eastAsia="仿宋" w:cs="仿宋"/>
          <w:szCs w:val="21"/>
        </w:rPr>
        <w:t>详见附录4</w:t>
      </w:r>
    </w:p>
    <w:p w14:paraId="60D8356B">
      <w:pPr>
        <w:pStyle w:val="3"/>
        <w:pageBreakBefore/>
        <w:spacing w:before="80"/>
        <w:rPr>
          <w:rFonts w:ascii="宋体" w:hAnsi="宋体" w:eastAsia="宋体" w:cs="宋体"/>
          <w:b/>
          <w:bCs/>
          <w:color w:val="auto"/>
          <w:sz w:val="21"/>
          <w:szCs w:val="21"/>
        </w:rPr>
      </w:pPr>
      <w:bookmarkStart w:id="59" w:name="_Toc144"/>
      <w:bookmarkStart w:id="60" w:name="_Toc6519"/>
      <w:bookmarkStart w:id="61" w:name="_Toc22475"/>
      <w:r>
        <w:rPr>
          <w:rFonts w:hint="eastAsia" w:ascii="宋体" w:hAnsi="宋体" w:eastAsia="宋体" w:cs="宋体"/>
          <w:b/>
          <w:bCs/>
          <w:color w:val="auto"/>
          <w:sz w:val="21"/>
          <w:szCs w:val="21"/>
        </w:rPr>
        <w:t>附录</w:t>
      </w:r>
      <w:bookmarkEnd w:id="59"/>
      <w:bookmarkEnd w:id="60"/>
      <w:r>
        <w:rPr>
          <w:rFonts w:hint="eastAsia" w:ascii="宋体" w:hAnsi="宋体" w:eastAsia="宋体" w:cs="宋体"/>
          <w:b/>
          <w:bCs/>
          <w:color w:val="auto"/>
          <w:sz w:val="21"/>
          <w:szCs w:val="21"/>
        </w:rPr>
        <w:t>1相关材料、能源碳排放因子</w:t>
      </w:r>
      <w:bookmarkEnd w:id="61"/>
    </w:p>
    <w:p w14:paraId="57C569B1">
      <w:pPr>
        <w:pStyle w:val="12"/>
        <w:ind w:firstLine="422"/>
        <w:jc w:val="center"/>
        <w:rPr>
          <w:rFonts w:ascii="宋体" w:hAnsi="宋体" w:eastAsia="宋体" w:cs="宋体"/>
          <w:b/>
          <w:bCs/>
          <w:kern w:val="0"/>
          <w:szCs w:val="21"/>
          <w:lang w:bidi="ar"/>
        </w:rPr>
      </w:pPr>
      <w:r>
        <w:rPr>
          <w:rFonts w:hint="eastAsia" w:ascii="宋体" w:hAnsi="宋体" w:eastAsia="宋体" w:cs="宋体"/>
          <w:b/>
          <w:bCs/>
          <w:kern w:val="0"/>
          <w:szCs w:val="21"/>
          <w:lang w:bidi="ar"/>
        </w:rPr>
        <w:t>常用能源的碳排放因子</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1393"/>
        <w:gridCol w:w="1456"/>
        <w:gridCol w:w="1783"/>
        <w:gridCol w:w="1312"/>
        <w:gridCol w:w="1186"/>
      </w:tblGrid>
      <w:tr w14:paraId="689E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Align w:val="center"/>
          </w:tcPr>
          <w:p w14:paraId="6AEEE2DA">
            <w:pP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能源种类</w:t>
            </w:r>
          </w:p>
        </w:tc>
        <w:tc>
          <w:tcPr>
            <w:tcW w:w="1393" w:type="dxa"/>
            <w:vAlign w:val="center"/>
          </w:tcPr>
          <w:p w14:paraId="5FC27E43">
            <w:pP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能源名称</w:t>
            </w:r>
          </w:p>
        </w:tc>
        <w:tc>
          <w:tcPr>
            <w:tcW w:w="1456" w:type="dxa"/>
            <w:vAlign w:val="center"/>
          </w:tcPr>
          <w:p w14:paraId="1630C131">
            <w:pP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碳排放因子</w:t>
            </w:r>
          </w:p>
        </w:tc>
        <w:tc>
          <w:tcPr>
            <w:tcW w:w="1783" w:type="dxa"/>
            <w:vAlign w:val="center"/>
          </w:tcPr>
          <w:p w14:paraId="54771637">
            <w:pP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单位</w:t>
            </w:r>
          </w:p>
        </w:tc>
        <w:tc>
          <w:tcPr>
            <w:tcW w:w="1312" w:type="dxa"/>
            <w:vAlign w:val="center"/>
          </w:tcPr>
          <w:p w14:paraId="0DB743DC">
            <w:pP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数据来源</w:t>
            </w:r>
          </w:p>
        </w:tc>
        <w:tc>
          <w:tcPr>
            <w:tcW w:w="1186" w:type="dxa"/>
            <w:vAlign w:val="center"/>
          </w:tcPr>
          <w:p w14:paraId="130B4DDB">
            <w:pP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备注</w:t>
            </w:r>
          </w:p>
        </w:tc>
      </w:tr>
      <w:tr w14:paraId="6DBB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restart"/>
            <w:vAlign w:val="center"/>
          </w:tcPr>
          <w:p w14:paraId="739AD746">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固定源化石燃料</w:t>
            </w:r>
          </w:p>
        </w:tc>
        <w:tc>
          <w:tcPr>
            <w:tcW w:w="1393" w:type="dxa"/>
            <w:vAlign w:val="center"/>
          </w:tcPr>
          <w:p w14:paraId="390B8255">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无烟煤</w:t>
            </w:r>
          </w:p>
        </w:tc>
        <w:tc>
          <w:tcPr>
            <w:tcW w:w="1456" w:type="dxa"/>
            <w:vAlign w:val="center"/>
          </w:tcPr>
          <w:p w14:paraId="7D687328">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98.3</w:t>
            </w:r>
          </w:p>
        </w:tc>
        <w:tc>
          <w:tcPr>
            <w:tcW w:w="1783" w:type="dxa"/>
            <w:vAlign w:val="center"/>
          </w:tcPr>
          <w:p w14:paraId="19FC6C27">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restart"/>
            <w:vAlign w:val="center"/>
          </w:tcPr>
          <w:p w14:paraId="588BDFD6">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《IPCC国家温室气体清单编制指南》</w:t>
            </w:r>
          </w:p>
        </w:tc>
        <w:tc>
          <w:tcPr>
            <w:tcW w:w="1186" w:type="dxa"/>
            <w:vMerge w:val="restart"/>
            <w:vAlign w:val="center"/>
          </w:tcPr>
          <w:p w14:paraId="769D81C1">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国际组织</w:t>
            </w:r>
          </w:p>
        </w:tc>
      </w:tr>
      <w:tr w14:paraId="4FF8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continue"/>
            <w:vAlign w:val="center"/>
          </w:tcPr>
          <w:p w14:paraId="33CBF174">
            <w:pPr>
              <w:rPr>
                <w:rFonts w:ascii="Times New Roman" w:hAnsi="Times New Roman" w:eastAsia="方正仿宋_GB2312" w:cs="Times New Roman"/>
                <w:kern w:val="0"/>
                <w:szCs w:val="21"/>
              </w:rPr>
            </w:pPr>
          </w:p>
        </w:tc>
        <w:tc>
          <w:tcPr>
            <w:tcW w:w="1393" w:type="dxa"/>
            <w:vAlign w:val="center"/>
          </w:tcPr>
          <w:p w14:paraId="51BF803A">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炼焦煤</w:t>
            </w:r>
          </w:p>
        </w:tc>
        <w:tc>
          <w:tcPr>
            <w:tcW w:w="1456" w:type="dxa"/>
            <w:vAlign w:val="center"/>
          </w:tcPr>
          <w:p w14:paraId="6D26FFB3">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94.3</w:t>
            </w:r>
          </w:p>
        </w:tc>
        <w:tc>
          <w:tcPr>
            <w:tcW w:w="1783" w:type="dxa"/>
            <w:vAlign w:val="center"/>
          </w:tcPr>
          <w:p w14:paraId="6112D62F">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continue"/>
            <w:vAlign w:val="center"/>
          </w:tcPr>
          <w:p w14:paraId="4E5BC9F0">
            <w:pPr>
              <w:rPr>
                <w:rFonts w:ascii="Times New Roman" w:hAnsi="Times New Roman" w:eastAsia="方正仿宋_GB2312" w:cs="Times New Roman"/>
                <w:kern w:val="0"/>
                <w:szCs w:val="21"/>
              </w:rPr>
            </w:pPr>
          </w:p>
        </w:tc>
        <w:tc>
          <w:tcPr>
            <w:tcW w:w="1186" w:type="dxa"/>
            <w:vMerge w:val="continue"/>
            <w:vAlign w:val="center"/>
          </w:tcPr>
          <w:p w14:paraId="6E13CE42">
            <w:pPr>
              <w:rPr>
                <w:rFonts w:ascii="Times New Roman" w:hAnsi="Times New Roman" w:eastAsia="方正仿宋_GB2312" w:cs="Times New Roman"/>
                <w:kern w:val="0"/>
                <w:szCs w:val="21"/>
              </w:rPr>
            </w:pPr>
          </w:p>
        </w:tc>
      </w:tr>
      <w:tr w14:paraId="671B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continue"/>
            <w:vAlign w:val="center"/>
          </w:tcPr>
          <w:p w14:paraId="22D509A3">
            <w:pPr>
              <w:rPr>
                <w:rFonts w:ascii="Times New Roman" w:hAnsi="Times New Roman" w:eastAsia="方正仿宋_GB2312" w:cs="Times New Roman"/>
                <w:kern w:val="0"/>
                <w:szCs w:val="21"/>
              </w:rPr>
            </w:pPr>
          </w:p>
        </w:tc>
        <w:tc>
          <w:tcPr>
            <w:tcW w:w="1393" w:type="dxa"/>
            <w:vAlign w:val="center"/>
          </w:tcPr>
          <w:p w14:paraId="125689A2">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褐煤</w:t>
            </w:r>
          </w:p>
        </w:tc>
        <w:tc>
          <w:tcPr>
            <w:tcW w:w="1456" w:type="dxa"/>
            <w:vAlign w:val="center"/>
          </w:tcPr>
          <w:p w14:paraId="0AFA401A">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101</w:t>
            </w:r>
          </w:p>
        </w:tc>
        <w:tc>
          <w:tcPr>
            <w:tcW w:w="1783" w:type="dxa"/>
            <w:vAlign w:val="center"/>
          </w:tcPr>
          <w:p w14:paraId="147538D7">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continue"/>
            <w:vAlign w:val="center"/>
          </w:tcPr>
          <w:p w14:paraId="0EA53795">
            <w:pPr>
              <w:rPr>
                <w:rFonts w:ascii="Times New Roman" w:hAnsi="Times New Roman" w:eastAsia="方正仿宋_GB2312" w:cs="Times New Roman"/>
                <w:kern w:val="0"/>
                <w:szCs w:val="21"/>
              </w:rPr>
            </w:pPr>
          </w:p>
        </w:tc>
        <w:tc>
          <w:tcPr>
            <w:tcW w:w="1186" w:type="dxa"/>
            <w:vMerge w:val="continue"/>
            <w:vAlign w:val="center"/>
          </w:tcPr>
          <w:p w14:paraId="394C2648">
            <w:pPr>
              <w:rPr>
                <w:rFonts w:ascii="Times New Roman" w:hAnsi="Times New Roman" w:eastAsia="方正仿宋_GB2312" w:cs="Times New Roman"/>
                <w:kern w:val="0"/>
                <w:szCs w:val="21"/>
              </w:rPr>
            </w:pPr>
          </w:p>
        </w:tc>
      </w:tr>
      <w:tr w14:paraId="7F69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continue"/>
            <w:vAlign w:val="center"/>
          </w:tcPr>
          <w:p w14:paraId="3DDC1916">
            <w:pPr>
              <w:rPr>
                <w:rFonts w:ascii="Times New Roman" w:hAnsi="Times New Roman" w:eastAsia="方正仿宋_GB2312" w:cs="Times New Roman"/>
                <w:kern w:val="0"/>
                <w:szCs w:val="21"/>
              </w:rPr>
            </w:pPr>
          </w:p>
        </w:tc>
        <w:tc>
          <w:tcPr>
            <w:tcW w:w="1393" w:type="dxa"/>
            <w:vAlign w:val="center"/>
          </w:tcPr>
          <w:p w14:paraId="286C4EA9">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焦炭</w:t>
            </w:r>
          </w:p>
        </w:tc>
        <w:tc>
          <w:tcPr>
            <w:tcW w:w="1456" w:type="dxa"/>
            <w:vAlign w:val="center"/>
          </w:tcPr>
          <w:p w14:paraId="35918020">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107</w:t>
            </w:r>
          </w:p>
        </w:tc>
        <w:tc>
          <w:tcPr>
            <w:tcW w:w="1783" w:type="dxa"/>
            <w:vAlign w:val="center"/>
          </w:tcPr>
          <w:p w14:paraId="1292ADBE">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continue"/>
            <w:vAlign w:val="center"/>
          </w:tcPr>
          <w:p w14:paraId="1D9DA7C1">
            <w:pPr>
              <w:rPr>
                <w:rFonts w:ascii="Times New Roman" w:hAnsi="Times New Roman" w:eastAsia="方正仿宋_GB2312" w:cs="Times New Roman"/>
                <w:kern w:val="0"/>
                <w:szCs w:val="21"/>
              </w:rPr>
            </w:pPr>
          </w:p>
        </w:tc>
        <w:tc>
          <w:tcPr>
            <w:tcW w:w="1186" w:type="dxa"/>
            <w:vMerge w:val="continue"/>
            <w:vAlign w:val="center"/>
          </w:tcPr>
          <w:p w14:paraId="5F0CF393">
            <w:pPr>
              <w:rPr>
                <w:rFonts w:ascii="Times New Roman" w:hAnsi="Times New Roman" w:eastAsia="方正仿宋_GB2312" w:cs="Times New Roman"/>
                <w:kern w:val="0"/>
                <w:szCs w:val="21"/>
              </w:rPr>
            </w:pPr>
          </w:p>
        </w:tc>
      </w:tr>
      <w:tr w14:paraId="2474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Align w:val="center"/>
          </w:tcPr>
          <w:p w14:paraId="478230B0">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电力</w:t>
            </w:r>
          </w:p>
        </w:tc>
        <w:tc>
          <w:tcPr>
            <w:tcW w:w="1393" w:type="dxa"/>
            <w:vAlign w:val="center"/>
          </w:tcPr>
          <w:p w14:paraId="2FA30914">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全国平均</w:t>
            </w:r>
          </w:p>
        </w:tc>
        <w:tc>
          <w:tcPr>
            <w:tcW w:w="1456" w:type="dxa"/>
            <w:vAlign w:val="center"/>
          </w:tcPr>
          <w:p w14:paraId="0CE830A3">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0.5703</w:t>
            </w:r>
          </w:p>
        </w:tc>
        <w:tc>
          <w:tcPr>
            <w:tcW w:w="1783" w:type="dxa"/>
            <w:vAlign w:val="center"/>
          </w:tcPr>
          <w:p w14:paraId="67716589">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tCO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/（MWh）</w:t>
            </w:r>
          </w:p>
        </w:tc>
        <w:tc>
          <w:tcPr>
            <w:tcW w:w="1312" w:type="dxa"/>
            <w:vAlign w:val="center"/>
          </w:tcPr>
          <w:p w14:paraId="77F2418E">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《关于做好2023—2025年发电行业企业温室气体排放报告管理有关工作的通知》（国家生态环境部）</w:t>
            </w:r>
          </w:p>
        </w:tc>
        <w:tc>
          <w:tcPr>
            <w:tcW w:w="1186" w:type="dxa"/>
            <w:vAlign w:val="center"/>
          </w:tcPr>
          <w:p w14:paraId="17A9D2E8">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以每年生态环境部更新的文件为准</w:t>
            </w:r>
          </w:p>
        </w:tc>
      </w:tr>
      <w:tr w14:paraId="0822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restart"/>
            <w:vAlign w:val="center"/>
          </w:tcPr>
          <w:p w14:paraId="06D3E6D4">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移动源化石燃料</w:t>
            </w:r>
          </w:p>
        </w:tc>
        <w:tc>
          <w:tcPr>
            <w:tcW w:w="1393" w:type="dxa"/>
            <w:vAlign w:val="center"/>
          </w:tcPr>
          <w:p w14:paraId="177398D4">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原油</w:t>
            </w:r>
          </w:p>
        </w:tc>
        <w:tc>
          <w:tcPr>
            <w:tcW w:w="1456" w:type="dxa"/>
            <w:vAlign w:val="center"/>
          </w:tcPr>
          <w:p w14:paraId="383776DB">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73.3</w:t>
            </w:r>
          </w:p>
        </w:tc>
        <w:tc>
          <w:tcPr>
            <w:tcW w:w="1783" w:type="dxa"/>
            <w:vAlign w:val="center"/>
          </w:tcPr>
          <w:p w14:paraId="154FD82A">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restart"/>
            <w:vAlign w:val="center"/>
          </w:tcPr>
          <w:p w14:paraId="4CAF8A0D">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《IPCC国家温室气体清单编制指南》</w:t>
            </w:r>
          </w:p>
        </w:tc>
        <w:tc>
          <w:tcPr>
            <w:tcW w:w="1186" w:type="dxa"/>
            <w:vMerge w:val="restart"/>
            <w:vAlign w:val="center"/>
          </w:tcPr>
          <w:p w14:paraId="2F304AFA">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国际组织</w:t>
            </w:r>
          </w:p>
        </w:tc>
      </w:tr>
      <w:tr w14:paraId="62C1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continue"/>
            <w:vAlign w:val="center"/>
          </w:tcPr>
          <w:p w14:paraId="0BFBF01F">
            <w:pPr>
              <w:rPr>
                <w:rFonts w:ascii="Times New Roman" w:hAnsi="Times New Roman" w:eastAsia="方正仿宋_GB2312" w:cs="Times New Roman"/>
                <w:kern w:val="0"/>
                <w:szCs w:val="21"/>
              </w:rPr>
            </w:pPr>
          </w:p>
        </w:tc>
        <w:tc>
          <w:tcPr>
            <w:tcW w:w="1393" w:type="dxa"/>
            <w:vAlign w:val="center"/>
          </w:tcPr>
          <w:p w14:paraId="472A04D8">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车用汽油</w:t>
            </w:r>
          </w:p>
        </w:tc>
        <w:tc>
          <w:tcPr>
            <w:tcW w:w="1456" w:type="dxa"/>
            <w:vAlign w:val="center"/>
          </w:tcPr>
          <w:p w14:paraId="2961A56B">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69.3</w:t>
            </w:r>
          </w:p>
        </w:tc>
        <w:tc>
          <w:tcPr>
            <w:tcW w:w="1783" w:type="dxa"/>
            <w:vAlign w:val="center"/>
          </w:tcPr>
          <w:p w14:paraId="1E3A2E5F">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continue"/>
            <w:vAlign w:val="center"/>
          </w:tcPr>
          <w:p w14:paraId="30B70F6D">
            <w:pPr>
              <w:rPr>
                <w:rFonts w:ascii="Times New Roman" w:hAnsi="Times New Roman" w:eastAsia="方正仿宋_GB2312" w:cs="Times New Roman"/>
                <w:kern w:val="0"/>
                <w:szCs w:val="21"/>
              </w:rPr>
            </w:pPr>
          </w:p>
        </w:tc>
        <w:tc>
          <w:tcPr>
            <w:tcW w:w="1186" w:type="dxa"/>
            <w:vMerge w:val="continue"/>
            <w:vAlign w:val="center"/>
          </w:tcPr>
          <w:p w14:paraId="7420EAD8">
            <w:pPr>
              <w:rPr>
                <w:rFonts w:ascii="Times New Roman" w:hAnsi="Times New Roman" w:eastAsia="方正仿宋_GB2312" w:cs="Times New Roman"/>
                <w:kern w:val="0"/>
                <w:szCs w:val="21"/>
              </w:rPr>
            </w:pPr>
          </w:p>
        </w:tc>
      </w:tr>
      <w:tr w14:paraId="1057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continue"/>
            <w:vAlign w:val="center"/>
          </w:tcPr>
          <w:p w14:paraId="230A334A">
            <w:pPr>
              <w:rPr>
                <w:rFonts w:ascii="Times New Roman" w:hAnsi="Times New Roman" w:eastAsia="方正仿宋_GB2312" w:cs="Times New Roman"/>
                <w:kern w:val="0"/>
                <w:szCs w:val="21"/>
              </w:rPr>
            </w:pPr>
          </w:p>
        </w:tc>
        <w:tc>
          <w:tcPr>
            <w:tcW w:w="1393" w:type="dxa"/>
            <w:vAlign w:val="center"/>
          </w:tcPr>
          <w:p w14:paraId="62CB8AC7">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航空汽油</w:t>
            </w:r>
          </w:p>
        </w:tc>
        <w:tc>
          <w:tcPr>
            <w:tcW w:w="1456" w:type="dxa"/>
            <w:vAlign w:val="center"/>
          </w:tcPr>
          <w:p w14:paraId="5621EFDF">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70</w:t>
            </w:r>
          </w:p>
        </w:tc>
        <w:tc>
          <w:tcPr>
            <w:tcW w:w="1783" w:type="dxa"/>
            <w:vAlign w:val="center"/>
          </w:tcPr>
          <w:p w14:paraId="069D0D91">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continue"/>
            <w:vAlign w:val="center"/>
          </w:tcPr>
          <w:p w14:paraId="331A0A62">
            <w:pPr>
              <w:rPr>
                <w:rFonts w:ascii="Times New Roman" w:hAnsi="Times New Roman" w:eastAsia="方正仿宋_GB2312" w:cs="Times New Roman"/>
                <w:kern w:val="0"/>
                <w:szCs w:val="21"/>
              </w:rPr>
            </w:pPr>
          </w:p>
        </w:tc>
        <w:tc>
          <w:tcPr>
            <w:tcW w:w="1186" w:type="dxa"/>
            <w:vMerge w:val="continue"/>
            <w:vAlign w:val="center"/>
          </w:tcPr>
          <w:p w14:paraId="4580F917">
            <w:pPr>
              <w:rPr>
                <w:rFonts w:ascii="Times New Roman" w:hAnsi="Times New Roman" w:eastAsia="方正仿宋_GB2312" w:cs="Times New Roman"/>
                <w:kern w:val="0"/>
                <w:szCs w:val="21"/>
              </w:rPr>
            </w:pPr>
          </w:p>
        </w:tc>
      </w:tr>
      <w:tr w14:paraId="38CD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continue"/>
            <w:vAlign w:val="center"/>
          </w:tcPr>
          <w:p w14:paraId="16104192">
            <w:pPr>
              <w:rPr>
                <w:rFonts w:ascii="Times New Roman" w:hAnsi="Times New Roman" w:eastAsia="方正仿宋_GB2312" w:cs="Times New Roman"/>
                <w:kern w:val="0"/>
                <w:szCs w:val="21"/>
              </w:rPr>
            </w:pPr>
          </w:p>
        </w:tc>
        <w:tc>
          <w:tcPr>
            <w:tcW w:w="1393" w:type="dxa"/>
            <w:vAlign w:val="center"/>
          </w:tcPr>
          <w:p w14:paraId="4FF91D6A">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煤油</w:t>
            </w:r>
          </w:p>
        </w:tc>
        <w:tc>
          <w:tcPr>
            <w:tcW w:w="1456" w:type="dxa"/>
            <w:vAlign w:val="center"/>
          </w:tcPr>
          <w:p w14:paraId="19A9994A">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71.5</w:t>
            </w:r>
          </w:p>
        </w:tc>
        <w:tc>
          <w:tcPr>
            <w:tcW w:w="1783" w:type="dxa"/>
            <w:vAlign w:val="center"/>
          </w:tcPr>
          <w:p w14:paraId="788C6C1E">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continue"/>
            <w:vAlign w:val="center"/>
          </w:tcPr>
          <w:p w14:paraId="609B6865">
            <w:pPr>
              <w:rPr>
                <w:rFonts w:ascii="Times New Roman" w:hAnsi="Times New Roman" w:eastAsia="方正仿宋_GB2312" w:cs="Times New Roman"/>
                <w:kern w:val="0"/>
                <w:szCs w:val="21"/>
              </w:rPr>
            </w:pPr>
          </w:p>
        </w:tc>
        <w:tc>
          <w:tcPr>
            <w:tcW w:w="1186" w:type="dxa"/>
            <w:vMerge w:val="continue"/>
            <w:vAlign w:val="center"/>
          </w:tcPr>
          <w:p w14:paraId="15F551B9">
            <w:pPr>
              <w:rPr>
                <w:rFonts w:ascii="Times New Roman" w:hAnsi="Times New Roman" w:eastAsia="方正仿宋_GB2312" w:cs="Times New Roman"/>
                <w:kern w:val="0"/>
                <w:szCs w:val="21"/>
              </w:rPr>
            </w:pPr>
          </w:p>
        </w:tc>
      </w:tr>
      <w:tr w14:paraId="5616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continue"/>
            <w:vAlign w:val="center"/>
          </w:tcPr>
          <w:p w14:paraId="7AABA43C">
            <w:pPr>
              <w:rPr>
                <w:rFonts w:ascii="Times New Roman" w:hAnsi="Times New Roman" w:eastAsia="方正仿宋_GB2312" w:cs="Times New Roman"/>
                <w:kern w:val="0"/>
                <w:szCs w:val="21"/>
              </w:rPr>
            </w:pPr>
          </w:p>
        </w:tc>
        <w:tc>
          <w:tcPr>
            <w:tcW w:w="1393" w:type="dxa"/>
            <w:vAlign w:val="center"/>
          </w:tcPr>
          <w:p w14:paraId="3B7A4A59">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柴油</w:t>
            </w:r>
          </w:p>
        </w:tc>
        <w:tc>
          <w:tcPr>
            <w:tcW w:w="1456" w:type="dxa"/>
            <w:vAlign w:val="center"/>
          </w:tcPr>
          <w:p w14:paraId="3C9F0880">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74.1</w:t>
            </w:r>
          </w:p>
        </w:tc>
        <w:tc>
          <w:tcPr>
            <w:tcW w:w="1783" w:type="dxa"/>
            <w:vAlign w:val="center"/>
          </w:tcPr>
          <w:p w14:paraId="50F0B8BB">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continue"/>
            <w:vAlign w:val="center"/>
          </w:tcPr>
          <w:p w14:paraId="5341DE4B">
            <w:pPr>
              <w:rPr>
                <w:rFonts w:ascii="Times New Roman" w:hAnsi="Times New Roman" w:eastAsia="方正仿宋_GB2312" w:cs="Times New Roman"/>
                <w:kern w:val="0"/>
                <w:szCs w:val="21"/>
              </w:rPr>
            </w:pPr>
          </w:p>
        </w:tc>
        <w:tc>
          <w:tcPr>
            <w:tcW w:w="1186" w:type="dxa"/>
            <w:vMerge w:val="continue"/>
            <w:vAlign w:val="center"/>
          </w:tcPr>
          <w:p w14:paraId="719FC8BC">
            <w:pPr>
              <w:rPr>
                <w:rFonts w:ascii="Times New Roman" w:hAnsi="Times New Roman" w:eastAsia="方正仿宋_GB2312" w:cs="Times New Roman"/>
                <w:kern w:val="0"/>
                <w:szCs w:val="21"/>
              </w:rPr>
            </w:pPr>
          </w:p>
        </w:tc>
      </w:tr>
      <w:tr w14:paraId="5F5F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continue"/>
            <w:vAlign w:val="center"/>
          </w:tcPr>
          <w:p w14:paraId="51659AC9">
            <w:pPr>
              <w:rPr>
                <w:rFonts w:ascii="Times New Roman" w:hAnsi="Times New Roman" w:eastAsia="方正仿宋_GB2312" w:cs="Times New Roman"/>
                <w:kern w:val="0"/>
                <w:szCs w:val="21"/>
              </w:rPr>
            </w:pPr>
          </w:p>
        </w:tc>
        <w:tc>
          <w:tcPr>
            <w:tcW w:w="1393" w:type="dxa"/>
            <w:vAlign w:val="center"/>
          </w:tcPr>
          <w:p w14:paraId="5599E99A">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液化石油气</w:t>
            </w:r>
          </w:p>
        </w:tc>
        <w:tc>
          <w:tcPr>
            <w:tcW w:w="1456" w:type="dxa"/>
            <w:vAlign w:val="center"/>
          </w:tcPr>
          <w:p w14:paraId="1993527B">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63.1</w:t>
            </w:r>
          </w:p>
        </w:tc>
        <w:tc>
          <w:tcPr>
            <w:tcW w:w="1783" w:type="dxa"/>
            <w:vAlign w:val="center"/>
          </w:tcPr>
          <w:p w14:paraId="39CBB7C2">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continue"/>
            <w:vAlign w:val="center"/>
          </w:tcPr>
          <w:p w14:paraId="2E27FA2F">
            <w:pPr>
              <w:rPr>
                <w:rFonts w:ascii="Times New Roman" w:hAnsi="Times New Roman" w:eastAsia="方正仿宋_GB2312" w:cs="Times New Roman"/>
                <w:kern w:val="0"/>
                <w:szCs w:val="21"/>
              </w:rPr>
            </w:pPr>
          </w:p>
        </w:tc>
        <w:tc>
          <w:tcPr>
            <w:tcW w:w="1186" w:type="dxa"/>
            <w:vMerge w:val="continue"/>
            <w:vAlign w:val="center"/>
          </w:tcPr>
          <w:p w14:paraId="7BB865F2">
            <w:pPr>
              <w:rPr>
                <w:rFonts w:ascii="Times New Roman" w:hAnsi="Times New Roman" w:eastAsia="方正仿宋_GB2312" w:cs="Times New Roman"/>
                <w:kern w:val="0"/>
                <w:szCs w:val="21"/>
              </w:rPr>
            </w:pPr>
          </w:p>
        </w:tc>
      </w:tr>
      <w:tr w14:paraId="1105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Merge w:val="continue"/>
            <w:vAlign w:val="center"/>
          </w:tcPr>
          <w:p w14:paraId="1290E63A">
            <w:pPr>
              <w:rPr>
                <w:rFonts w:ascii="Times New Roman" w:hAnsi="Times New Roman" w:eastAsia="方正仿宋_GB2312" w:cs="Times New Roman"/>
                <w:kern w:val="0"/>
                <w:szCs w:val="21"/>
              </w:rPr>
            </w:pPr>
          </w:p>
        </w:tc>
        <w:tc>
          <w:tcPr>
            <w:tcW w:w="1393" w:type="dxa"/>
            <w:vAlign w:val="center"/>
          </w:tcPr>
          <w:p w14:paraId="14FCC77C">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燃料油</w:t>
            </w:r>
          </w:p>
        </w:tc>
        <w:tc>
          <w:tcPr>
            <w:tcW w:w="1456" w:type="dxa"/>
            <w:vAlign w:val="center"/>
          </w:tcPr>
          <w:p w14:paraId="696F08F3">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77.4</w:t>
            </w:r>
          </w:p>
        </w:tc>
        <w:tc>
          <w:tcPr>
            <w:tcW w:w="1783" w:type="dxa"/>
            <w:vAlign w:val="center"/>
          </w:tcPr>
          <w:p w14:paraId="2B2E7802">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continue"/>
            <w:vAlign w:val="center"/>
          </w:tcPr>
          <w:p w14:paraId="02BB5E26">
            <w:pPr>
              <w:rPr>
                <w:rFonts w:ascii="Times New Roman" w:hAnsi="Times New Roman" w:eastAsia="方正仿宋_GB2312" w:cs="Times New Roman"/>
                <w:kern w:val="0"/>
                <w:szCs w:val="21"/>
              </w:rPr>
            </w:pPr>
          </w:p>
        </w:tc>
        <w:tc>
          <w:tcPr>
            <w:tcW w:w="1186" w:type="dxa"/>
            <w:vMerge w:val="continue"/>
            <w:vAlign w:val="center"/>
          </w:tcPr>
          <w:p w14:paraId="35D48E57">
            <w:pPr>
              <w:rPr>
                <w:rFonts w:ascii="Times New Roman" w:hAnsi="Times New Roman" w:eastAsia="方正仿宋_GB2312" w:cs="Times New Roman"/>
                <w:kern w:val="0"/>
                <w:szCs w:val="21"/>
              </w:rPr>
            </w:pPr>
          </w:p>
        </w:tc>
      </w:tr>
      <w:tr w14:paraId="289B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Align w:val="center"/>
          </w:tcPr>
          <w:p w14:paraId="43706682">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热力</w:t>
            </w:r>
          </w:p>
        </w:tc>
        <w:tc>
          <w:tcPr>
            <w:tcW w:w="1393" w:type="dxa"/>
            <w:vAlign w:val="center"/>
          </w:tcPr>
          <w:p w14:paraId="6FCF0674">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天然气</w:t>
            </w:r>
          </w:p>
        </w:tc>
        <w:tc>
          <w:tcPr>
            <w:tcW w:w="1456" w:type="dxa"/>
            <w:vAlign w:val="center"/>
          </w:tcPr>
          <w:p w14:paraId="756819A9">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55.54</w:t>
            </w:r>
          </w:p>
        </w:tc>
        <w:tc>
          <w:tcPr>
            <w:tcW w:w="1783" w:type="dxa"/>
            <w:vAlign w:val="center"/>
          </w:tcPr>
          <w:p w14:paraId="78A1A577">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/GJ</w:t>
            </w:r>
          </w:p>
        </w:tc>
        <w:tc>
          <w:tcPr>
            <w:tcW w:w="1312" w:type="dxa"/>
            <w:vMerge w:val="continue"/>
            <w:vAlign w:val="center"/>
          </w:tcPr>
          <w:p w14:paraId="5A4FA345">
            <w:pPr>
              <w:rPr>
                <w:rFonts w:ascii="Times New Roman" w:hAnsi="Times New Roman" w:eastAsia="方正仿宋_GB2312" w:cs="Times New Roman"/>
                <w:kern w:val="0"/>
                <w:szCs w:val="21"/>
              </w:rPr>
            </w:pPr>
          </w:p>
        </w:tc>
        <w:tc>
          <w:tcPr>
            <w:tcW w:w="1186" w:type="dxa"/>
            <w:vMerge w:val="continue"/>
            <w:vAlign w:val="center"/>
          </w:tcPr>
          <w:p w14:paraId="78545880">
            <w:pPr>
              <w:rPr>
                <w:rFonts w:ascii="Times New Roman" w:hAnsi="Times New Roman" w:eastAsia="方正仿宋_GB2312" w:cs="Times New Roman"/>
                <w:kern w:val="0"/>
                <w:szCs w:val="21"/>
              </w:rPr>
            </w:pPr>
          </w:p>
        </w:tc>
      </w:tr>
      <w:tr w14:paraId="72F1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vAlign w:val="center"/>
          </w:tcPr>
          <w:p w14:paraId="62564FE5">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用水</w:t>
            </w:r>
          </w:p>
        </w:tc>
        <w:tc>
          <w:tcPr>
            <w:tcW w:w="1393" w:type="dxa"/>
            <w:vAlign w:val="center"/>
          </w:tcPr>
          <w:p w14:paraId="28AA0269">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水</w:t>
            </w:r>
          </w:p>
        </w:tc>
        <w:tc>
          <w:tcPr>
            <w:tcW w:w="1456" w:type="dxa"/>
            <w:vAlign w:val="center"/>
          </w:tcPr>
          <w:p w14:paraId="0E35A4D4">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0.261</w:t>
            </w:r>
          </w:p>
        </w:tc>
        <w:tc>
          <w:tcPr>
            <w:tcW w:w="1783" w:type="dxa"/>
            <w:vAlign w:val="center"/>
          </w:tcPr>
          <w:p w14:paraId="3BE9C136">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/m³</w:t>
            </w:r>
          </w:p>
        </w:tc>
        <w:tc>
          <w:tcPr>
            <w:tcW w:w="1312" w:type="dxa"/>
            <w:vAlign w:val="center"/>
          </w:tcPr>
          <w:p w14:paraId="1CF68AAD">
            <w:pP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缺省值</w:t>
            </w:r>
          </w:p>
        </w:tc>
        <w:tc>
          <w:tcPr>
            <w:tcW w:w="1186" w:type="dxa"/>
            <w:vAlign w:val="center"/>
          </w:tcPr>
          <w:p w14:paraId="5C9CD52C">
            <w:pPr>
              <w:rPr>
                <w:rFonts w:ascii="Times New Roman" w:hAnsi="Times New Roman" w:eastAsia="方正仿宋_GB2312" w:cs="Times New Roman"/>
                <w:kern w:val="0"/>
                <w:szCs w:val="21"/>
              </w:rPr>
            </w:pPr>
          </w:p>
        </w:tc>
      </w:tr>
    </w:tbl>
    <w:p w14:paraId="49ADF8F8">
      <w:pPr>
        <w:pStyle w:val="12"/>
        <w:jc w:val="center"/>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相关材料的碳排放因子</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9"/>
        <w:gridCol w:w="2840"/>
        <w:gridCol w:w="2840"/>
      </w:tblGrid>
      <w:tr w14:paraId="14A0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514839D8">
            <w:pPr>
              <w:jc w:val="cente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材料类别</w:t>
            </w:r>
          </w:p>
        </w:tc>
        <w:tc>
          <w:tcPr>
            <w:tcW w:w="1666" w:type="pct"/>
          </w:tcPr>
          <w:p w14:paraId="309D8CC7">
            <w:pPr>
              <w:jc w:val="cente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材料碳排放因子</w:t>
            </w:r>
          </w:p>
        </w:tc>
        <w:tc>
          <w:tcPr>
            <w:tcW w:w="1666" w:type="pct"/>
          </w:tcPr>
          <w:p w14:paraId="2811493D">
            <w:pPr>
              <w:jc w:val="cente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数据来源</w:t>
            </w:r>
          </w:p>
        </w:tc>
      </w:tr>
      <w:tr w14:paraId="023F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39007F43">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煤矸石</w:t>
            </w:r>
          </w:p>
        </w:tc>
        <w:tc>
          <w:tcPr>
            <w:tcW w:w="1666" w:type="pct"/>
          </w:tcPr>
          <w:p w14:paraId="174D0064">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w:t>
            </w:r>
          </w:p>
        </w:tc>
        <w:tc>
          <w:tcPr>
            <w:tcW w:w="1666" w:type="pct"/>
          </w:tcPr>
          <w:p w14:paraId="64B2307A">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w:t>
            </w:r>
          </w:p>
        </w:tc>
      </w:tr>
      <w:tr w14:paraId="0E99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428689BC">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石英砂</w:t>
            </w:r>
          </w:p>
        </w:tc>
        <w:tc>
          <w:tcPr>
            <w:tcW w:w="1666" w:type="pct"/>
          </w:tcPr>
          <w:p w14:paraId="2071014F">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0.002323kgCO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e/kg</w:t>
            </w:r>
          </w:p>
        </w:tc>
        <w:tc>
          <w:tcPr>
            <w:tcW w:w="1666" w:type="pct"/>
          </w:tcPr>
          <w:p w14:paraId="70050710">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CBCED</w:t>
            </w:r>
          </w:p>
        </w:tc>
      </w:tr>
      <w:tr w14:paraId="4D3B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522C043C">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氟硅酸钠</w:t>
            </w:r>
          </w:p>
        </w:tc>
        <w:tc>
          <w:tcPr>
            <w:tcW w:w="1666" w:type="pct"/>
          </w:tcPr>
          <w:p w14:paraId="7F815EE0">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15.5kgCO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e/kg</w:t>
            </w:r>
          </w:p>
        </w:tc>
        <w:tc>
          <w:tcPr>
            <w:tcW w:w="1666" w:type="pct"/>
          </w:tcPr>
          <w:p w14:paraId="5FDD5F2D">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缺省值</w:t>
            </w:r>
          </w:p>
        </w:tc>
      </w:tr>
      <w:tr w14:paraId="3FAB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3A14BDB7">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纯碱</w:t>
            </w:r>
          </w:p>
        </w:tc>
        <w:tc>
          <w:tcPr>
            <w:tcW w:w="1666" w:type="pct"/>
          </w:tcPr>
          <w:p w14:paraId="34A96FD3">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1.875kgCO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e/kg</w:t>
            </w:r>
          </w:p>
        </w:tc>
        <w:tc>
          <w:tcPr>
            <w:tcW w:w="1666" w:type="pct"/>
          </w:tcPr>
          <w:p w14:paraId="6DB2E620">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CPCD</w:t>
            </w:r>
          </w:p>
        </w:tc>
      </w:tr>
      <w:tr w14:paraId="0C08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14:paraId="651678C3">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碳酸钙</w:t>
            </w:r>
          </w:p>
        </w:tc>
        <w:tc>
          <w:tcPr>
            <w:tcW w:w="1666" w:type="pct"/>
          </w:tcPr>
          <w:p w14:paraId="48315018">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1.2kgCO</w:t>
            </w:r>
            <w:r>
              <w:rPr>
                <w:rFonts w:hint="eastAsia" w:ascii="Times New Roman" w:hAnsi="Times New Roman" w:eastAsia="方正仿宋_GB2312" w:cs="Times New Roman"/>
                <w:kern w:val="0"/>
                <w:szCs w:val="21"/>
                <w:vertAlign w:val="subscript"/>
              </w:rPr>
              <w:t>2</w:t>
            </w:r>
            <w:r>
              <w:rPr>
                <w:rFonts w:hint="eastAsia" w:ascii="Times New Roman" w:hAnsi="Times New Roman" w:eastAsia="方正仿宋_GB2312" w:cs="Times New Roman"/>
                <w:kern w:val="0"/>
                <w:szCs w:val="21"/>
              </w:rPr>
              <w:t>e/kg</w:t>
            </w:r>
          </w:p>
        </w:tc>
        <w:tc>
          <w:tcPr>
            <w:tcW w:w="1666" w:type="pct"/>
          </w:tcPr>
          <w:p w14:paraId="77CB1D87">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缺省值</w:t>
            </w:r>
          </w:p>
        </w:tc>
      </w:tr>
    </w:tbl>
    <w:p w14:paraId="240FC64D">
      <w:pPr>
        <w:pStyle w:val="12"/>
        <w:jc w:val="center"/>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运输碳排放因子[KgCO2e/(t·km)]</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49E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982C82F">
            <w:pPr>
              <w:jc w:val="cente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运输方式类别</w:t>
            </w:r>
          </w:p>
        </w:tc>
        <w:tc>
          <w:tcPr>
            <w:tcW w:w="4261" w:type="dxa"/>
          </w:tcPr>
          <w:p w14:paraId="025C498E">
            <w:pPr>
              <w:jc w:val="center"/>
              <w:rPr>
                <w:rFonts w:ascii="Times New Roman" w:hAnsi="Times New Roman" w:eastAsia="方正仿宋_GB2312" w:cs="Times New Roman"/>
                <w:b/>
                <w:bCs/>
                <w:kern w:val="0"/>
                <w:szCs w:val="21"/>
              </w:rPr>
            </w:pPr>
            <w:r>
              <w:rPr>
                <w:rFonts w:hint="eastAsia" w:ascii="Times New Roman" w:hAnsi="Times New Roman" w:eastAsia="方正仿宋_GB2312" w:cs="Times New Roman"/>
                <w:b/>
                <w:bCs/>
                <w:kern w:val="0"/>
                <w:szCs w:val="21"/>
              </w:rPr>
              <w:t>碳排放因子</w:t>
            </w:r>
          </w:p>
        </w:tc>
      </w:tr>
      <w:tr w14:paraId="7136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5B42616">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轻型汽油货车运输（载重2t）</w:t>
            </w:r>
          </w:p>
        </w:tc>
        <w:tc>
          <w:tcPr>
            <w:tcW w:w="4261" w:type="dxa"/>
          </w:tcPr>
          <w:p w14:paraId="5AB7F9F0">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0.334</w:t>
            </w:r>
          </w:p>
        </w:tc>
      </w:tr>
      <w:tr w14:paraId="658C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458DCFF">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中型汽油货车运输（载重8t）</w:t>
            </w:r>
          </w:p>
        </w:tc>
        <w:tc>
          <w:tcPr>
            <w:tcW w:w="4261" w:type="dxa"/>
          </w:tcPr>
          <w:p w14:paraId="33024BB1">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0.115</w:t>
            </w:r>
          </w:p>
        </w:tc>
      </w:tr>
      <w:tr w14:paraId="0A6F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1C5A06D">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重型汽油货车运输（载重10t）</w:t>
            </w:r>
          </w:p>
        </w:tc>
        <w:tc>
          <w:tcPr>
            <w:tcW w:w="4261" w:type="dxa"/>
          </w:tcPr>
          <w:p w14:paraId="2369E5BA">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0.104</w:t>
            </w:r>
          </w:p>
        </w:tc>
      </w:tr>
      <w:tr w14:paraId="7807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26C31BC">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重型汽油货车运输（载重8t）</w:t>
            </w:r>
          </w:p>
        </w:tc>
        <w:tc>
          <w:tcPr>
            <w:tcW w:w="4261" w:type="dxa"/>
          </w:tcPr>
          <w:p w14:paraId="5FAD5CD9">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0.104</w:t>
            </w:r>
          </w:p>
        </w:tc>
      </w:tr>
      <w:tr w14:paraId="682C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18BD6CA">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轻型柴油货车运输（载重2t）</w:t>
            </w:r>
          </w:p>
        </w:tc>
        <w:tc>
          <w:tcPr>
            <w:tcW w:w="4261" w:type="dxa"/>
          </w:tcPr>
          <w:p w14:paraId="5AF10E6E">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0.286</w:t>
            </w:r>
          </w:p>
        </w:tc>
      </w:tr>
      <w:tr w14:paraId="295D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B278ABC">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中型柴油货车运输（载重8t）</w:t>
            </w:r>
          </w:p>
        </w:tc>
        <w:tc>
          <w:tcPr>
            <w:tcW w:w="4261" w:type="dxa"/>
          </w:tcPr>
          <w:p w14:paraId="529AE9E9">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0.179</w:t>
            </w:r>
          </w:p>
        </w:tc>
      </w:tr>
      <w:tr w14:paraId="59F2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739DABF">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重型柴油货车运输（载重10t）</w:t>
            </w:r>
          </w:p>
        </w:tc>
        <w:tc>
          <w:tcPr>
            <w:tcW w:w="4261" w:type="dxa"/>
          </w:tcPr>
          <w:p w14:paraId="2F351876">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0.162</w:t>
            </w:r>
          </w:p>
        </w:tc>
      </w:tr>
      <w:tr w14:paraId="6CD79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880BB3E">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重型柴油货车运输（载重18t）</w:t>
            </w:r>
          </w:p>
        </w:tc>
        <w:tc>
          <w:tcPr>
            <w:tcW w:w="4261" w:type="dxa"/>
          </w:tcPr>
          <w:p w14:paraId="4E2F16E9">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0.129</w:t>
            </w:r>
          </w:p>
        </w:tc>
      </w:tr>
      <w:tr w14:paraId="5239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EA803B1">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重型柴油货车运输（载重30t）</w:t>
            </w:r>
          </w:p>
        </w:tc>
        <w:tc>
          <w:tcPr>
            <w:tcW w:w="4261" w:type="dxa"/>
          </w:tcPr>
          <w:p w14:paraId="38702333">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0.078</w:t>
            </w:r>
          </w:p>
        </w:tc>
      </w:tr>
      <w:tr w14:paraId="3544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B8B58B0">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电力机车运输</w:t>
            </w:r>
          </w:p>
        </w:tc>
        <w:tc>
          <w:tcPr>
            <w:tcW w:w="4261" w:type="dxa"/>
          </w:tcPr>
          <w:p w14:paraId="7CEA6968">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0.010</w:t>
            </w:r>
          </w:p>
        </w:tc>
      </w:tr>
      <w:tr w14:paraId="2A1A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615FE8A">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内燃机车运输</w:t>
            </w:r>
          </w:p>
        </w:tc>
        <w:tc>
          <w:tcPr>
            <w:tcW w:w="4261" w:type="dxa"/>
          </w:tcPr>
          <w:p w14:paraId="1529120F">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0.011</w:t>
            </w:r>
          </w:p>
        </w:tc>
      </w:tr>
      <w:tr w14:paraId="27C5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DB49611">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铁路运输（中国市场平均）</w:t>
            </w:r>
          </w:p>
        </w:tc>
        <w:tc>
          <w:tcPr>
            <w:tcW w:w="4261" w:type="dxa"/>
          </w:tcPr>
          <w:p w14:paraId="7F3F5A40">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0.010</w:t>
            </w:r>
          </w:p>
        </w:tc>
      </w:tr>
      <w:tr w14:paraId="79C5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E46943C">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液货船运输（载重2000t）</w:t>
            </w:r>
          </w:p>
        </w:tc>
        <w:tc>
          <w:tcPr>
            <w:tcW w:w="4261" w:type="dxa"/>
          </w:tcPr>
          <w:p w14:paraId="0381F3B2">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0.019</w:t>
            </w:r>
          </w:p>
        </w:tc>
      </w:tr>
      <w:tr w14:paraId="0791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D7A0197">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干散货船运输（载重2500t）</w:t>
            </w:r>
          </w:p>
        </w:tc>
        <w:tc>
          <w:tcPr>
            <w:tcW w:w="4261" w:type="dxa"/>
          </w:tcPr>
          <w:p w14:paraId="6B8E68DF">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0.015</w:t>
            </w:r>
          </w:p>
        </w:tc>
      </w:tr>
      <w:tr w14:paraId="3008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AB0D575">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集装箱船运输（载重200TEU）</w:t>
            </w:r>
          </w:p>
        </w:tc>
        <w:tc>
          <w:tcPr>
            <w:tcW w:w="4261" w:type="dxa"/>
          </w:tcPr>
          <w:p w14:paraId="54F22C99">
            <w:pPr>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0.012</w:t>
            </w:r>
          </w:p>
        </w:tc>
      </w:tr>
    </w:tbl>
    <w:p w14:paraId="11660B4C">
      <w:pPr>
        <w:jc w:val="center"/>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温室气体全球变暖潜势</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757B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4D8BA5D">
            <w:pPr>
              <w:pStyle w:val="12"/>
              <w:rPr>
                <w:rFonts w:hAnsi="Times New Roman" w:eastAsia="方正仿宋_GB2312" w:cs="Times New Roman"/>
                <w:b/>
                <w:bCs/>
                <w:kern w:val="0"/>
                <w:szCs w:val="21"/>
              </w:rPr>
            </w:pPr>
            <w:r>
              <w:rPr>
                <w:rFonts w:hint="eastAsia" w:hAnsi="Times New Roman" w:eastAsia="方正仿宋_GB2312" w:cs="Times New Roman"/>
                <w:b/>
                <w:bCs/>
                <w:kern w:val="0"/>
                <w:szCs w:val="21"/>
              </w:rPr>
              <w:t>气体名称</w:t>
            </w:r>
          </w:p>
        </w:tc>
        <w:tc>
          <w:tcPr>
            <w:tcW w:w="2841" w:type="dxa"/>
          </w:tcPr>
          <w:p w14:paraId="29E0EA55">
            <w:pPr>
              <w:pStyle w:val="12"/>
              <w:rPr>
                <w:rFonts w:hAnsi="Times New Roman" w:eastAsia="方正仿宋_GB2312" w:cs="Times New Roman"/>
                <w:b/>
                <w:bCs/>
                <w:kern w:val="0"/>
                <w:szCs w:val="21"/>
              </w:rPr>
            </w:pPr>
            <w:r>
              <w:rPr>
                <w:rFonts w:hint="eastAsia" w:hAnsi="Times New Roman" w:eastAsia="方正仿宋_GB2312" w:cs="Times New Roman"/>
                <w:b/>
                <w:bCs/>
                <w:kern w:val="0"/>
                <w:szCs w:val="21"/>
              </w:rPr>
              <w:t>化学分子式</w:t>
            </w:r>
          </w:p>
        </w:tc>
        <w:tc>
          <w:tcPr>
            <w:tcW w:w="2841" w:type="dxa"/>
          </w:tcPr>
          <w:p w14:paraId="2FA7035E">
            <w:pPr>
              <w:pStyle w:val="12"/>
              <w:rPr>
                <w:rFonts w:hAnsi="Times New Roman" w:eastAsia="方正仿宋_GB2312" w:cs="Times New Roman"/>
                <w:b/>
                <w:bCs/>
                <w:kern w:val="0"/>
                <w:szCs w:val="21"/>
              </w:rPr>
            </w:pPr>
            <w:r>
              <w:rPr>
                <w:rFonts w:hint="eastAsia" w:hAnsi="Times New Roman" w:eastAsia="方正仿宋_GB2312" w:cs="Times New Roman"/>
                <w:b/>
                <w:bCs/>
                <w:kern w:val="0"/>
                <w:szCs w:val="21"/>
              </w:rPr>
              <w:t>100年的GWP</w:t>
            </w:r>
          </w:p>
        </w:tc>
      </w:tr>
      <w:tr w14:paraId="7FBF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F278B52">
            <w:pPr>
              <w:pStyle w:val="12"/>
              <w:rPr>
                <w:rFonts w:hAnsi="Times New Roman" w:eastAsia="方正仿宋_GB2312" w:cs="Times New Roman"/>
                <w:kern w:val="0"/>
                <w:szCs w:val="21"/>
              </w:rPr>
            </w:pPr>
            <w:r>
              <w:rPr>
                <w:rFonts w:hint="eastAsia" w:hAnsi="Times New Roman" w:eastAsia="方正仿宋_GB2312" w:cs="Times New Roman"/>
                <w:kern w:val="0"/>
                <w:szCs w:val="21"/>
              </w:rPr>
              <w:t>二氧化碳</w:t>
            </w:r>
          </w:p>
        </w:tc>
        <w:tc>
          <w:tcPr>
            <w:tcW w:w="2841" w:type="dxa"/>
          </w:tcPr>
          <w:p w14:paraId="3652E2EE">
            <w:pPr>
              <w:pStyle w:val="12"/>
              <w:rPr>
                <w:rFonts w:hAnsi="Times New Roman" w:eastAsia="方正仿宋_GB2312" w:cs="Times New Roman"/>
                <w:kern w:val="0"/>
                <w:szCs w:val="21"/>
              </w:rPr>
            </w:pPr>
            <w:r>
              <w:rPr>
                <w:rFonts w:hint="eastAsia" w:hAnsi="Times New Roman" w:eastAsia="方正仿宋_GB2312" w:cs="Times New Roman"/>
                <w:kern w:val="0"/>
                <w:szCs w:val="21"/>
              </w:rPr>
              <w:t>CO</w:t>
            </w:r>
            <w:r>
              <w:rPr>
                <w:rFonts w:hint="eastAsia" w:hAnsi="Times New Roman" w:eastAsia="方正仿宋_GB2312" w:cs="Times New Roman"/>
                <w:kern w:val="0"/>
                <w:szCs w:val="21"/>
                <w:vertAlign w:val="subscript"/>
              </w:rPr>
              <w:t>2</w:t>
            </w:r>
          </w:p>
        </w:tc>
        <w:tc>
          <w:tcPr>
            <w:tcW w:w="2841" w:type="dxa"/>
          </w:tcPr>
          <w:p w14:paraId="4173791E">
            <w:pPr>
              <w:pStyle w:val="12"/>
              <w:rPr>
                <w:rFonts w:hAnsi="Times New Roman" w:eastAsia="方正仿宋_GB2312" w:cs="Times New Roman"/>
                <w:kern w:val="0"/>
                <w:szCs w:val="21"/>
              </w:rPr>
            </w:pPr>
            <w:r>
              <w:rPr>
                <w:rFonts w:hint="eastAsia" w:hAnsi="Times New Roman" w:eastAsia="方正仿宋_GB2312" w:cs="Times New Roman"/>
                <w:kern w:val="0"/>
                <w:szCs w:val="21"/>
              </w:rPr>
              <w:t>1</w:t>
            </w:r>
          </w:p>
        </w:tc>
      </w:tr>
      <w:tr w14:paraId="0320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88E1B78">
            <w:pPr>
              <w:pStyle w:val="12"/>
              <w:rPr>
                <w:rFonts w:hAnsi="Times New Roman" w:eastAsia="方正仿宋_GB2312" w:cs="Times New Roman"/>
                <w:kern w:val="0"/>
                <w:szCs w:val="21"/>
              </w:rPr>
            </w:pPr>
            <w:r>
              <w:rPr>
                <w:rFonts w:hint="eastAsia" w:hAnsi="Times New Roman" w:eastAsia="方正仿宋_GB2312" w:cs="Times New Roman"/>
                <w:kern w:val="0"/>
                <w:szCs w:val="21"/>
              </w:rPr>
              <w:t>甲烷</w:t>
            </w:r>
          </w:p>
        </w:tc>
        <w:tc>
          <w:tcPr>
            <w:tcW w:w="2841" w:type="dxa"/>
          </w:tcPr>
          <w:p w14:paraId="39FD877A">
            <w:pPr>
              <w:pStyle w:val="12"/>
              <w:rPr>
                <w:rFonts w:hAnsi="Times New Roman" w:eastAsia="方正仿宋_GB2312" w:cs="Times New Roman"/>
                <w:kern w:val="0"/>
                <w:szCs w:val="21"/>
              </w:rPr>
            </w:pPr>
            <w:r>
              <w:rPr>
                <w:rFonts w:hint="eastAsia" w:hAnsi="Times New Roman" w:eastAsia="方正仿宋_GB2312" w:cs="Times New Roman"/>
                <w:kern w:val="0"/>
                <w:szCs w:val="21"/>
              </w:rPr>
              <w:t>CH</w:t>
            </w:r>
            <w:r>
              <w:rPr>
                <w:rFonts w:hint="eastAsia" w:hAnsi="Times New Roman" w:eastAsia="方正仿宋_GB2312" w:cs="Times New Roman"/>
                <w:kern w:val="0"/>
                <w:szCs w:val="21"/>
                <w:vertAlign w:val="subscript"/>
              </w:rPr>
              <w:t>4</w:t>
            </w:r>
          </w:p>
        </w:tc>
        <w:tc>
          <w:tcPr>
            <w:tcW w:w="2841" w:type="dxa"/>
          </w:tcPr>
          <w:p w14:paraId="392E8A66">
            <w:pPr>
              <w:pStyle w:val="12"/>
              <w:rPr>
                <w:rFonts w:hAnsi="Times New Roman" w:eastAsia="方正仿宋_GB2312" w:cs="Times New Roman"/>
                <w:kern w:val="0"/>
                <w:szCs w:val="21"/>
              </w:rPr>
            </w:pPr>
            <w:r>
              <w:rPr>
                <w:rFonts w:hint="eastAsia" w:hAnsi="Times New Roman" w:eastAsia="方正仿宋_GB2312" w:cs="Times New Roman"/>
                <w:kern w:val="0"/>
                <w:szCs w:val="21"/>
              </w:rPr>
              <w:t>27.9</w:t>
            </w:r>
          </w:p>
        </w:tc>
      </w:tr>
      <w:tr w14:paraId="5122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41C71D4">
            <w:pPr>
              <w:pStyle w:val="12"/>
              <w:rPr>
                <w:rFonts w:hAnsi="Times New Roman" w:eastAsia="方正仿宋_GB2312" w:cs="Times New Roman"/>
                <w:kern w:val="0"/>
                <w:szCs w:val="21"/>
              </w:rPr>
            </w:pPr>
            <w:r>
              <w:rPr>
                <w:rFonts w:hint="eastAsia" w:hAnsi="Times New Roman" w:eastAsia="方正仿宋_GB2312" w:cs="Times New Roman"/>
                <w:kern w:val="0"/>
                <w:szCs w:val="21"/>
              </w:rPr>
              <w:t>氧化亚氮</w:t>
            </w:r>
          </w:p>
        </w:tc>
        <w:tc>
          <w:tcPr>
            <w:tcW w:w="2841" w:type="dxa"/>
          </w:tcPr>
          <w:p w14:paraId="065611CF">
            <w:pPr>
              <w:pStyle w:val="12"/>
              <w:rPr>
                <w:rFonts w:hAnsi="Times New Roman" w:eastAsia="方正仿宋_GB2312" w:cs="Times New Roman"/>
                <w:kern w:val="0"/>
                <w:szCs w:val="21"/>
              </w:rPr>
            </w:pPr>
            <w:r>
              <w:rPr>
                <w:rFonts w:hint="eastAsia" w:hAnsi="Times New Roman" w:eastAsia="方正仿宋_GB2312" w:cs="Times New Roman"/>
                <w:kern w:val="0"/>
                <w:szCs w:val="21"/>
              </w:rPr>
              <w:t>N</w:t>
            </w:r>
            <w:r>
              <w:rPr>
                <w:rFonts w:hint="eastAsia" w:hAnsi="Times New Roman" w:eastAsia="方正仿宋_GB2312" w:cs="Times New Roman"/>
                <w:kern w:val="0"/>
                <w:szCs w:val="21"/>
                <w:vertAlign w:val="subscript"/>
              </w:rPr>
              <w:t>2</w:t>
            </w:r>
            <w:r>
              <w:rPr>
                <w:rFonts w:hint="eastAsia" w:hAnsi="Times New Roman" w:eastAsia="方正仿宋_GB2312" w:cs="Times New Roman"/>
                <w:kern w:val="0"/>
                <w:szCs w:val="21"/>
              </w:rPr>
              <w:t>O</w:t>
            </w:r>
          </w:p>
        </w:tc>
        <w:tc>
          <w:tcPr>
            <w:tcW w:w="2841" w:type="dxa"/>
          </w:tcPr>
          <w:p w14:paraId="1902D9DF">
            <w:pPr>
              <w:pStyle w:val="12"/>
              <w:rPr>
                <w:rFonts w:hAnsi="Times New Roman" w:eastAsia="方正仿宋_GB2312" w:cs="Times New Roman"/>
                <w:kern w:val="0"/>
                <w:szCs w:val="21"/>
              </w:rPr>
            </w:pPr>
            <w:r>
              <w:rPr>
                <w:rFonts w:hint="eastAsia" w:hAnsi="Times New Roman" w:eastAsia="方正仿宋_GB2312" w:cs="Times New Roman"/>
                <w:kern w:val="0"/>
                <w:szCs w:val="21"/>
              </w:rPr>
              <w:t>273</w:t>
            </w:r>
          </w:p>
        </w:tc>
      </w:tr>
      <w:tr w14:paraId="7BBC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6190FF5">
            <w:pPr>
              <w:pStyle w:val="12"/>
              <w:rPr>
                <w:rFonts w:hAnsi="Times New Roman" w:eastAsia="方正仿宋_GB2312" w:cs="Times New Roman"/>
                <w:kern w:val="0"/>
                <w:szCs w:val="21"/>
              </w:rPr>
            </w:pPr>
            <w:r>
              <w:rPr>
                <w:rFonts w:hint="eastAsia" w:hAnsi="Times New Roman" w:eastAsia="方正仿宋_GB2312" w:cs="Times New Roman"/>
                <w:kern w:val="0"/>
                <w:szCs w:val="21"/>
              </w:rPr>
              <w:t>三氟化氮</w:t>
            </w:r>
          </w:p>
        </w:tc>
        <w:tc>
          <w:tcPr>
            <w:tcW w:w="2841" w:type="dxa"/>
          </w:tcPr>
          <w:p w14:paraId="2C7B0922">
            <w:pPr>
              <w:pStyle w:val="12"/>
              <w:rPr>
                <w:rFonts w:hAnsi="Times New Roman" w:eastAsia="方正仿宋_GB2312" w:cs="Times New Roman"/>
                <w:kern w:val="0"/>
                <w:szCs w:val="21"/>
              </w:rPr>
            </w:pPr>
            <w:r>
              <w:rPr>
                <w:rFonts w:hint="eastAsia" w:hAnsi="Times New Roman" w:eastAsia="方正仿宋_GB2312" w:cs="Times New Roman"/>
                <w:kern w:val="0"/>
                <w:szCs w:val="21"/>
              </w:rPr>
              <w:t>NF</w:t>
            </w:r>
            <w:r>
              <w:rPr>
                <w:rFonts w:hint="eastAsia" w:hAnsi="Times New Roman" w:eastAsia="方正仿宋_GB2312" w:cs="Times New Roman"/>
                <w:kern w:val="0"/>
                <w:szCs w:val="21"/>
                <w:vertAlign w:val="subscript"/>
              </w:rPr>
              <w:t>3</w:t>
            </w:r>
          </w:p>
        </w:tc>
        <w:tc>
          <w:tcPr>
            <w:tcW w:w="2841" w:type="dxa"/>
          </w:tcPr>
          <w:p w14:paraId="7D24AE6A">
            <w:pPr>
              <w:pStyle w:val="12"/>
              <w:rPr>
                <w:rFonts w:hAnsi="Times New Roman" w:eastAsia="方正仿宋_GB2312" w:cs="Times New Roman"/>
                <w:kern w:val="0"/>
                <w:szCs w:val="21"/>
              </w:rPr>
            </w:pPr>
            <w:r>
              <w:rPr>
                <w:rFonts w:hint="eastAsia" w:hAnsi="Times New Roman" w:eastAsia="方正仿宋_GB2312" w:cs="Times New Roman"/>
                <w:kern w:val="0"/>
                <w:szCs w:val="21"/>
              </w:rPr>
              <w:t>17400</w:t>
            </w:r>
          </w:p>
        </w:tc>
      </w:tr>
      <w:tr w14:paraId="0855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75F8A2E">
            <w:pPr>
              <w:pStyle w:val="12"/>
              <w:rPr>
                <w:rFonts w:hAnsi="Times New Roman" w:eastAsia="方正仿宋_GB2312" w:cs="Times New Roman"/>
                <w:kern w:val="0"/>
                <w:szCs w:val="21"/>
              </w:rPr>
            </w:pPr>
            <w:r>
              <w:rPr>
                <w:rFonts w:hint="eastAsia" w:hAnsi="Times New Roman" w:eastAsia="方正仿宋_GB2312" w:cs="Times New Roman"/>
                <w:kern w:val="0"/>
                <w:szCs w:val="21"/>
              </w:rPr>
              <w:t>六氟化硫</w:t>
            </w:r>
          </w:p>
        </w:tc>
        <w:tc>
          <w:tcPr>
            <w:tcW w:w="2841" w:type="dxa"/>
          </w:tcPr>
          <w:p w14:paraId="598CF0B5">
            <w:pPr>
              <w:pStyle w:val="12"/>
              <w:rPr>
                <w:rFonts w:hAnsi="Times New Roman" w:eastAsia="方正仿宋_GB2312" w:cs="Times New Roman"/>
                <w:kern w:val="0"/>
                <w:szCs w:val="21"/>
              </w:rPr>
            </w:pPr>
            <w:r>
              <w:rPr>
                <w:rFonts w:hint="eastAsia" w:hAnsi="Times New Roman" w:eastAsia="方正仿宋_GB2312" w:cs="Times New Roman"/>
                <w:kern w:val="0"/>
                <w:szCs w:val="21"/>
              </w:rPr>
              <w:t>SF</w:t>
            </w:r>
            <w:r>
              <w:rPr>
                <w:rFonts w:hint="eastAsia" w:hAnsi="Times New Roman" w:eastAsia="方正仿宋_GB2312" w:cs="Times New Roman"/>
                <w:kern w:val="0"/>
                <w:szCs w:val="21"/>
                <w:vertAlign w:val="subscript"/>
              </w:rPr>
              <w:t>3</w:t>
            </w:r>
          </w:p>
        </w:tc>
        <w:tc>
          <w:tcPr>
            <w:tcW w:w="2841" w:type="dxa"/>
          </w:tcPr>
          <w:p w14:paraId="2195092D">
            <w:pPr>
              <w:pStyle w:val="12"/>
              <w:rPr>
                <w:rFonts w:hAnsi="Times New Roman" w:eastAsia="方正仿宋_GB2312" w:cs="Times New Roman"/>
                <w:kern w:val="0"/>
                <w:szCs w:val="21"/>
              </w:rPr>
            </w:pPr>
            <w:r>
              <w:rPr>
                <w:rFonts w:hint="eastAsia" w:hAnsi="Times New Roman" w:eastAsia="方正仿宋_GB2312" w:cs="Times New Roman"/>
                <w:kern w:val="0"/>
                <w:szCs w:val="21"/>
              </w:rPr>
              <w:t>25200</w:t>
            </w:r>
          </w:p>
        </w:tc>
      </w:tr>
      <w:tr w14:paraId="50C5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14:paraId="18674DDB">
            <w:pPr>
              <w:pStyle w:val="12"/>
              <w:jc w:val="center"/>
              <w:rPr>
                <w:rFonts w:hAnsi="Times New Roman" w:eastAsia="方正仿宋_GB2312" w:cs="Times New Roman"/>
                <w:kern w:val="0"/>
                <w:szCs w:val="21"/>
              </w:rPr>
            </w:pPr>
            <w:r>
              <w:rPr>
                <w:rFonts w:hint="eastAsia" w:hAnsi="Times New Roman" w:eastAsia="方正仿宋_GB2312" w:cs="Times New Roman"/>
                <w:kern w:val="0"/>
                <w:szCs w:val="21"/>
              </w:rPr>
              <w:t>氢氟碳化物（HFCs）</w:t>
            </w:r>
          </w:p>
        </w:tc>
      </w:tr>
      <w:tr w14:paraId="2150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241674D">
            <w:pPr>
              <w:pStyle w:val="12"/>
              <w:rPr>
                <w:rFonts w:hAnsi="Times New Roman" w:eastAsia="方正仿宋_GB2312" w:cs="Times New Roman"/>
                <w:kern w:val="0"/>
                <w:szCs w:val="21"/>
              </w:rPr>
            </w:pPr>
            <w:r>
              <w:rPr>
                <w:rFonts w:hint="eastAsia" w:hAnsi="Times New Roman" w:eastAsia="方正仿宋_GB2312" w:cs="Times New Roman"/>
                <w:kern w:val="0"/>
                <w:szCs w:val="21"/>
              </w:rPr>
              <w:t>HFC-23</w:t>
            </w:r>
          </w:p>
        </w:tc>
        <w:tc>
          <w:tcPr>
            <w:tcW w:w="2841" w:type="dxa"/>
          </w:tcPr>
          <w:p w14:paraId="24DAEEEE">
            <w:pPr>
              <w:pStyle w:val="12"/>
              <w:rPr>
                <w:rFonts w:hAnsi="Times New Roman" w:eastAsia="方正仿宋_GB2312" w:cs="Times New Roman"/>
                <w:kern w:val="0"/>
                <w:szCs w:val="21"/>
              </w:rPr>
            </w:pPr>
            <w:r>
              <w:rPr>
                <w:rFonts w:hint="eastAsia" w:hAnsi="Times New Roman" w:eastAsia="方正仿宋_GB2312" w:cs="Times New Roman"/>
                <w:kern w:val="0"/>
                <w:szCs w:val="21"/>
              </w:rPr>
              <w:t>CHF</w:t>
            </w:r>
            <w:r>
              <w:rPr>
                <w:rFonts w:hint="eastAsia" w:hAnsi="Times New Roman" w:eastAsia="方正仿宋_GB2312" w:cs="Times New Roman"/>
                <w:kern w:val="0"/>
                <w:szCs w:val="21"/>
                <w:vertAlign w:val="subscript"/>
              </w:rPr>
              <w:t>3</w:t>
            </w:r>
          </w:p>
        </w:tc>
        <w:tc>
          <w:tcPr>
            <w:tcW w:w="2841" w:type="dxa"/>
          </w:tcPr>
          <w:p w14:paraId="42241705">
            <w:pPr>
              <w:pStyle w:val="12"/>
              <w:rPr>
                <w:rFonts w:hAnsi="Times New Roman" w:eastAsia="方正仿宋_GB2312" w:cs="Times New Roman"/>
                <w:kern w:val="0"/>
                <w:szCs w:val="21"/>
              </w:rPr>
            </w:pPr>
            <w:r>
              <w:rPr>
                <w:rFonts w:hint="eastAsia" w:hAnsi="Times New Roman" w:eastAsia="方正仿宋_GB2312" w:cs="Times New Roman"/>
                <w:kern w:val="0"/>
                <w:szCs w:val="21"/>
              </w:rPr>
              <w:t>14600</w:t>
            </w:r>
          </w:p>
        </w:tc>
      </w:tr>
      <w:tr w14:paraId="6903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8D7EBF4">
            <w:pPr>
              <w:pStyle w:val="12"/>
              <w:rPr>
                <w:rFonts w:hAnsi="Times New Roman" w:eastAsia="方正仿宋_GB2312" w:cs="Times New Roman"/>
                <w:kern w:val="0"/>
                <w:szCs w:val="21"/>
              </w:rPr>
            </w:pPr>
            <w:r>
              <w:rPr>
                <w:rFonts w:hint="eastAsia" w:hAnsi="Times New Roman" w:eastAsia="方正仿宋_GB2312" w:cs="Times New Roman"/>
                <w:kern w:val="0"/>
                <w:szCs w:val="21"/>
              </w:rPr>
              <w:t>HFC-32</w:t>
            </w:r>
          </w:p>
        </w:tc>
        <w:tc>
          <w:tcPr>
            <w:tcW w:w="2841" w:type="dxa"/>
          </w:tcPr>
          <w:p w14:paraId="579BCAE3">
            <w:pPr>
              <w:pStyle w:val="12"/>
              <w:rPr>
                <w:rFonts w:hAnsi="Times New Roman" w:eastAsia="方正仿宋_GB2312" w:cs="Times New Roman"/>
                <w:kern w:val="0"/>
                <w:szCs w:val="21"/>
              </w:rPr>
            </w:pPr>
            <w:r>
              <w:rPr>
                <w:rFonts w:hint="eastAsia" w:hAnsi="Times New Roman" w:eastAsia="方正仿宋_GB2312" w:cs="Times New Roman"/>
                <w:kern w:val="0"/>
                <w:szCs w:val="21"/>
              </w:rPr>
              <w:t>CG</w:t>
            </w:r>
            <w:r>
              <w:rPr>
                <w:rFonts w:hint="eastAsia" w:hAnsi="Times New Roman" w:eastAsia="方正仿宋_GB2312" w:cs="Times New Roman"/>
                <w:kern w:val="0"/>
                <w:szCs w:val="21"/>
                <w:vertAlign w:val="subscript"/>
              </w:rPr>
              <w:t>2</w:t>
            </w:r>
            <w:r>
              <w:rPr>
                <w:rFonts w:hint="eastAsia" w:hAnsi="Times New Roman" w:eastAsia="方正仿宋_GB2312" w:cs="Times New Roman"/>
                <w:kern w:val="0"/>
                <w:szCs w:val="21"/>
              </w:rPr>
              <w:t>F</w:t>
            </w:r>
            <w:r>
              <w:rPr>
                <w:rFonts w:hint="eastAsia" w:hAnsi="Times New Roman" w:eastAsia="方正仿宋_GB2312" w:cs="Times New Roman"/>
                <w:kern w:val="0"/>
                <w:szCs w:val="21"/>
                <w:vertAlign w:val="subscript"/>
              </w:rPr>
              <w:t>2</w:t>
            </w:r>
          </w:p>
        </w:tc>
        <w:tc>
          <w:tcPr>
            <w:tcW w:w="2841" w:type="dxa"/>
          </w:tcPr>
          <w:p w14:paraId="2276D3D4">
            <w:pPr>
              <w:pStyle w:val="12"/>
              <w:rPr>
                <w:rFonts w:hAnsi="Times New Roman" w:eastAsia="方正仿宋_GB2312" w:cs="Times New Roman"/>
                <w:kern w:val="0"/>
                <w:szCs w:val="21"/>
              </w:rPr>
            </w:pPr>
            <w:r>
              <w:rPr>
                <w:rFonts w:hint="eastAsia" w:hAnsi="Times New Roman" w:eastAsia="方正仿宋_GB2312" w:cs="Times New Roman"/>
                <w:kern w:val="0"/>
                <w:szCs w:val="21"/>
              </w:rPr>
              <w:t>771</w:t>
            </w:r>
          </w:p>
        </w:tc>
      </w:tr>
      <w:tr w14:paraId="11B0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18094AA">
            <w:pPr>
              <w:pStyle w:val="12"/>
              <w:rPr>
                <w:rFonts w:hAnsi="Times New Roman" w:eastAsia="方正仿宋_GB2312" w:cs="Times New Roman"/>
                <w:kern w:val="0"/>
                <w:szCs w:val="21"/>
              </w:rPr>
            </w:pPr>
            <w:r>
              <w:rPr>
                <w:rFonts w:hint="eastAsia" w:hAnsi="Times New Roman" w:eastAsia="方正仿宋_GB2312" w:cs="Times New Roman"/>
                <w:kern w:val="0"/>
                <w:szCs w:val="21"/>
              </w:rPr>
              <w:t>HFC-41</w:t>
            </w:r>
          </w:p>
        </w:tc>
        <w:tc>
          <w:tcPr>
            <w:tcW w:w="2841" w:type="dxa"/>
          </w:tcPr>
          <w:p w14:paraId="58EB0097">
            <w:pPr>
              <w:pStyle w:val="12"/>
              <w:rPr>
                <w:rFonts w:hAnsi="Times New Roman" w:eastAsia="方正仿宋_GB2312" w:cs="Times New Roman"/>
                <w:kern w:val="0"/>
                <w:szCs w:val="21"/>
              </w:rPr>
            </w:pPr>
            <w:r>
              <w:rPr>
                <w:rFonts w:hint="eastAsia" w:hAnsi="Times New Roman" w:eastAsia="方正仿宋_GB2312" w:cs="Times New Roman"/>
                <w:kern w:val="0"/>
                <w:szCs w:val="21"/>
              </w:rPr>
              <w:t>CH</w:t>
            </w:r>
            <w:r>
              <w:rPr>
                <w:rFonts w:hint="eastAsia" w:hAnsi="Times New Roman" w:eastAsia="方正仿宋_GB2312" w:cs="Times New Roman"/>
                <w:kern w:val="0"/>
                <w:szCs w:val="21"/>
                <w:vertAlign w:val="subscript"/>
              </w:rPr>
              <w:t>3</w:t>
            </w:r>
            <w:r>
              <w:rPr>
                <w:rFonts w:hint="eastAsia" w:hAnsi="Times New Roman" w:eastAsia="方正仿宋_GB2312" w:cs="Times New Roman"/>
                <w:kern w:val="0"/>
                <w:szCs w:val="21"/>
              </w:rPr>
              <w:t>F</w:t>
            </w:r>
          </w:p>
        </w:tc>
        <w:tc>
          <w:tcPr>
            <w:tcW w:w="2841" w:type="dxa"/>
          </w:tcPr>
          <w:p w14:paraId="34132902">
            <w:pPr>
              <w:pStyle w:val="12"/>
              <w:rPr>
                <w:rFonts w:hAnsi="Times New Roman" w:eastAsia="方正仿宋_GB2312" w:cs="Times New Roman"/>
                <w:kern w:val="0"/>
                <w:szCs w:val="21"/>
              </w:rPr>
            </w:pPr>
            <w:r>
              <w:rPr>
                <w:rFonts w:hint="eastAsia" w:hAnsi="Times New Roman" w:eastAsia="方正仿宋_GB2312" w:cs="Times New Roman"/>
                <w:kern w:val="0"/>
                <w:szCs w:val="21"/>
              </w:rPr>
              <w:t>135</w:t>
            </w:r>
          </w:p>
        </w:tc>
      </w:tr>
      <w:tr w14:paraId="4945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C24AFC8">
            <w:pPr>
              <w:pStyle w:val="12"/>
              <w:rPr>
                <w:rFonts w:hAnsi="Times New Roman" w:eastAsia="方正仿宋_GB2312" w:cs="Times New Roman"/>
                <w:kern w:val="0"/>
                <w:szCs w:val="21"/>
              </w:rPr>
            </w:pPr>
            <w:r>
              <w:rPr>
                <w:rFonts w:hint="eastAsia" w:hAnsi="Times New Roman" w:eastAsia="方正仿宋_GB2312" w:cs="Times New Roman"/>
                <w:kern w:val="0"/>
                <w:szCs w:val="21"/>
              </w:rPr>
              <w:t>HFC-125</w:t>
            </w:r>
          </w:p>
        </w:tc>
        <w:tc>
          <w:tcPr>
            <w:tcW w:w="2841" w:type="dxa"/>
          </w:tcPr>
          <w:p w14:paraId="7D0C91DC">
            <w:pPr>
              <w:pStyle w:val="12"/>
              <w:rPr>
                <w:rFonts w:hAnsi="Times New Roman" w:eastAsia="方正仿宋_GB2312" w:cs="Times New Roman"/>
                <w:kern w:val="0"/>
                <w:szCs w:val="21"/>
              </w:rPr>
            </w:pPr>
            <w:r>
              <w:rPr>
                <w:rFonts w:hint="eastAsia" w:hAnsi="Times New Roman" w:eastAsia="方正仿宋_GB2312" w:cs="Times New Roman"/>
                <w:kern w:val="0"/>
                <w:szCs w:val="21"/>
              </w:rPr>
              <w:t>C</w:t>
            </w:r>
            <w:r>
              <w:rPr>
                <w:rFonts w:hint="eastAsia" w:hAnsi="Times New Roman" w:eastAsia="方正仿宋_GB2312" w:cs="Times New Roman"/>
                <w:kern w:val="0"/>
                <w:szCs w:val="21"/>
                <w:vertAlign w:val="subscript"/>
              </w:rPr>
              <w:t>2</w:t>
            </w:r>
            <w:r>
              <w:rPr>
                <w:rFonts w:hint="eastAsia" w:hAnsi="Times New Roman" w:eastAsia="方正仿宋_GB2312" w:cs="Times New Roman"/>
                <w:kern w:val="0"/>
                <w:szCs w:val="21"/>
              </w:rPr>
              <w:t>HF</w:t>
            </w:r>
            <w:r>
              <w:rPr>
                <w:rFonts w:hint="eastAsia" w:hAnsi="Times New Roman" w:eastAsia="方正仿宋_GB2312" w:cs="Times New Roman"/>
                <w:kern w:val="0"/>
                <w:szCs w:val="21"/>
                <w:vertAlign w:val="subscript"/>
              </w:rPr>
              <w:t>5</w:t>
            </w:r>
          </w:p>
        </w:tc>
        <w:tc>
          <w:tcPr>
            <w:tcW w:w="2841" w:type="dxa"/>
          </w:tcPr>
          <w:p w14:paraId="6F93526A">
            <w:pPr>
              <w:pStyle w:val="12"/>
              <w:rPr>
                <w:rFonts w:hAnsi="Times New Roman" w:eastAsia="方正仿宋_GB2312" w:cs="Times New Roman"/>
                <w:kern w:val="0"/>
                <w:szCs w:val="21"/>
              </w:rPr>
            </w:pPr>
            <w:r>
              <w:rPr>
                <w:rFonts w:hint="eastAsia" w:hAnsi="Times New Roman" w:eastAsia="方正仿宋_GB2312" w:cs="Times New Roman"/>
                <w:kern w:val="0"/>
                <w:szCs w:val="21"/>
              </w:rPr>
              <w:t>3740</w:t>
            </w:r>
          </w:p>
        </w:tc>
      </w:tr>
      <w:tr w14:paraId="0AC6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A72B5E0">
            <w:pPr>
              <w:pStyle w:val="12"/>
              <w:rPr>
                <w:rFonts w:hAnsi="Times New Roman" w:eastAsia="方正仿宋_GB2312" w:cs="Times New Roman"/>
                <w:kern w:val="0"/>
                <w:szCs w:val="21"/>
              </w:rPr>
            </w:pPr>
            <w:r>
              <w:rPr>
                <w:rFonts w:hint="eastAsia" w:hAnsi="Times New Roman" w:eastAsia="方正仿宋_GB2312" w:cs="Times New Roman"/>
                <w:kern w:val="0"/>
                <w:szCs w:val="21"/>
              </w:rPr>
              <w:t>HFC-134</w:t>
            </w:r>
          </w:p>
        </w:tc>
        <w:tc>
          <w:tcPr>
            <w:tcW w:w="2841" w:type="dxa"/>
          </w:tcPr>
          <w:p w14:paraId="3894934C">
            <w:pPr>
              <w:pStyle w:val="12"/>
              <w:rPr>
                <w:rFonts w:hAnsi="Times New Roman" w:eastAsia="方正仿宋_GB2312" w:cs="Times New Roman"/>
                <w:kern w:val="0"/>
                <w:szCs w:val="21"/>
              </w:rPr>
            </w:pPr>
            <w:r>
              <w:rPr>
                <w:rFonts w:hint="eastAsia" w:hAnsi="Times New Roman" w:eastAsia="方正仿宋_GB2312" w:cs="Times New Roman"/>
                <w:kern w:val="0"/>
                <w:szCs w:val="21"/>
              </w:rPr>
              <w:t>CHF</w:t>
            </w:r>
            <w:r>
              <w:rPr>
                <w:rFonts w:hint="eastAsia" w:hAnsi="Times New Roman" w:eastAsia="方正仿宋_GB2312" w:cs="Times New Roman"/>
                <w:kern w:val="0"/>
                <w:szCs w:val="21"/>
                <w:vertAlign w:val="subscript"/>
              </w:rPr>
              <w:t>2</w:t>
            </w:r>
            <w:r>
              <w:rPr>
                <w:rFonts w:hint="eastAsia" w:hAnsi="Times New Roman" w:eastAsia="方正仿宋_GB2312" w:cs="Times New Roman"/>
                <w:kern w:val="0"/>
                <w:szCs w:val="21"/>
              </w:rPr>
              <w:t>CHF</w:t>
            </w:r>
            <w:r>
              <w:rPr>
                <w:rFonts w:hint="eastAsia" w:hAnsi="Times New Roman" w:eastAsia="方正仿宋_GB2312" w:cs="Times New Roman"/>
                <w:kern w:val="0"/>
                <w:szCs w:val="21"/>
                <w:vertAlign w:val="subscript"/>
              </w:rPr>
              <w:t>2</w:t>
            </w:r>
          </w:p>
        </w:tc>
        <w:tc>
          <w:tcPr>
            <w:tcW w:w="2841" w:type="dxa"/>
          </w:tcPr>
          <w:p w14:paraId="0ECF70F1">
            <w:pPr>
              <w:pStyle w:val="12"/>
              <w:rPr>
                <w:rFonts w:hAnsi="Times New Roman" w:eastAsia="方正仿宋_GB2312" w:cs="Times New Roman"/>
                <w:kern w:val="0"/>
                <w:szCs w:val="21"/>
              </w:rPr>
            </w:pPr>
            <w:r>
              <w:rPr>
                <w:rFonts w:hint="eastAsia" w:hAnsi="Times New Roman" w:eastAsia="方正仿宋_GB2312" w:cs="Times New Roman"/>
                <w:kern w:val="0"/>
                <w:szCs w:val="21"/>
              </w:rPr>
              <w:t>1260</w:t>
            </w:r>
          </w:p>
        </w:tc>
      </w:tr>
      <w:tr w14:paraId="34CC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0FBB54D">
            <w:pPr>
              <w:pStyle w:val="12"/>
              <w:rPr>
                <w:rFonts w:hAnsi="Times New Roman" w:eastAsia="方正仿宋_GB2312" w:cs="Times New Roman"/>
                <w:kern w:val="0"/>
                <w:szCs w:val="21"/>
              </w:rPr>
            </w:pPr>
            <w:r>
              <w:rPr>
                <w:rFonts w:hint="eastAsia" w:hAnsi="Times New Roman" w:eastAsia="方正仿宋_GB2312" w:cs="Times New Roman"/>
                <w:kern w:val="0"/>
                <w:szCs w:val="21"/>
              </w:rPr>
              <w:t>HFC-134a</w:t>
            </w:r>
          </w:p>
        </w:tc>
        <w:tc>
          <w:tcPr>
            <w:tcW w:w="2841" w:type="dxa"/>
          </w:tcPr>
          <w:p w14:paraId="4F7F464F">
            <w:pPr>
              <w:pStyle w:val="12"/>
              <w:rPr>
                <w:rFonts w:hAnsi="Times New Roman" w:eastAsia="方正仿宋_GB2312" w:cs="Times New Roman"/>
                <w:kern w:val="0"/>
                <w:szCs w:val="21"/>
              </w:rPr>
            </w:pPr>
            <w:r>
              <w:rPr>
                <w:rFonts w:hint="eastAsia" w:hAnsi="Times New Roman" w:eastAsia="方正仿宋_GB2312" w:cs="Times New Roman"/>
                <w:kern w:val="0"/>
                <w:szCs w:val="21"/>
              </w:rPr>
              <w:t>C</w:t>
            </w:r>
            <w:r>
              <w:rPr>
                <w:rFonts w:hint="eastAsia" w:hAnsi="Times New Roman" w:eastAsia="方正仿宋_GB2312" w:cs="Times New Roman"/>
                <w:kern w:val="0"/>
                <w:szCs w:val="21"/>
                <w:vertAlign w:val="subscript"/>
              </w:rPr>
              <w:t>2</w:t>
            </w:r>
            <w:r>
              <w:rPr>
                <w:rFonts w:hint="eastAsia" w:hAnsi="Times New Roman" w:eastAsia="方正仿宋_GB2312" w:cs="Times New Roman"/>
                <w:kern w:val="0"/>
                <w:szCs w:val="21"/>
              </w:rPr>
              <w:t>H</w:t>
            </w:r>
            <w:r>
              <w:rPr>
                <w:rFonts w:hint="eastAsia" w:hAnsi="Times New Roman" w:eastAsia="方正仿宋_GB2312" w:cs="Times New Roman"/>
                <w:kern w:val="0"/>
                <w:szCs w:val="21"/>
                <w:vertAlign w:val="subscript"/>
              </w:rPr>
              <w:t>2</w:t>
            </w:r>
            <w:r>
              <w:rPr>
                <w:rFonts w:hint="eastAsia" w:hAnsi="Times New Roman" w:eastAsia="方正仿宋_GB2312" w:cs="Times New Roman"/>
                <w:kern w:val="0"/>
                <w:szCs w:val="21"/>
              </w:rPr>
              <w:t>F</w:t>
            </w:r>
            <w:r>
              <w:rPr>
                <w:rFonts w:hint="eastAsia" w:hAnsi="Times New Roman" w:eastAsia="方正仿宋_GB2312" w:cs="Times New Roman"/>
                <w:kern w:val="0"/>
                <w:szCs w:val="21"/>
                <w:vertAlign w:val="subscript"/>
              </w:rPr>
              <w:t>4</w:t>
            </w:r>
          </w:p>
        </w:tc>
        <w:tc>
          <w:tcPr>
            <w:tcW w:w="2841" w:type="dxa"/>
          </w:tcPr>
          <w:p w14:paraId="66C19350">
            <w:pPr>
              <w:pStyle w:val="12"/>
              <w:rPr>
                <w:rFonts w:hAnsi="Times New Roman" w:eastAsia="方正仿宋_GB2312" w:cs="Times New Roman"/>
                <w:kern w:val="0"/>
                <w:szCs w:val="21"/>
              </w:rPr>
            </w:pPr>
            <w:r>
              <w:rPr>
                <w:rFonts w:hint="eastAsia" w:hAnsi="Times New Roman" w:eastAsia="方正仿宋_GB2312" w:cs="Times New Roman"/>
                <w:kern w:val="0"/>
                <w:szCs w:val="21"/>
              </w:rPr>
              <w:t>1530</w:t>
            </w:r>
          </w:p>
        </w:tc>
      </w:tr>
      <w:tr w14:paraId="0AA8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306DC6C">
            <w:pPr>
              <w:pStyle w:val="12"/>
              <w:rPr>
                <w:rFonts w:hAnsi="Times New Roman" w:eastAsia="方正仿宋_GB2312" w:cs="Times New Roman"/>
                <w:kern w:val="0"/>
                <w:szCs w:val="21"/>
              </w:rPr>
            </w:pPr>
            <w:r>
              <w:rPr>
                <w:rFonts w:hint="eastAsia" w:hAnsi="Times New Roman" w:eastAsia="方正仿宋_GB2312" w:cs="Times New Roman"/>
                <w:kern w:val="0"/>
                <w:szCs w:val="21"/>
              </w:rPr>
              <w:t>HFC-143</w:t>
            </w:r>
          </w:p>
        </w:tc>
        <w:tc>
          <w:tcPr>
            <w:tcW w:w="2841" w:type="dxa"/>
          </w:tcPr>
          <w:p w14:paraId="7204E8C4">
            <w:pPr>
              <w:pStyle w:val="12"/>
              <w:rPr>
                <w:rFonts w:hAnsi="Times New Roman" w:eastAsia="方正仿宋_GB2312" w:cs="Times New Roman"/>
                <w:kern w:val="0"/>
                <w:szCs w:val="21"/>
              </w:rPr>
            </w:pPr>
            <w:r>
              <w:rPr>
                <w:rFonts w:hint="eastAsia" w:hAnsi="Times New Roman" w:eastAsia="方正仿宋_GB2312" w:cs="Times New Roman"/>
                <w:kern w:val="0"/>
                <w:szCs w:val="21"/>
              </w:rPr>
              <w:t>CH</w:t>
            </w:r>
            <w:r>
              <w:rPr>
                <w:rFonts w:hint="eastAsia" w:hAnsi="Times New Roman" w:eastAsia="方正仿宋_GB2312" w:cs="Times New Roman"/>
                <w:kern w:val="0"/>
                <w:szCs w:val="21"/>
                <w:vertAlign w:val="subscript"/>
              </w:rPr>
              <w:t>2</w:t>
            </w:r>
            <w:r>
              <w:rPr>
                <w:rFonts w:hint="eastAsia" w:hAnsi="Times New Roman" w:eastAsia="方正仿宋_GB2312" w:cs="Times New Roman"/>
                <w:kern w:val="0"/>
                <w:szCs w:val="21"/>
              </w:rPr>
              <w:t>FCHF</w:t>
            </w:r>
            <w:r>
              <w:rPr>
                <w:rFonts w:hint="eastAsia" w:hAnsi="Times New Roman" w:eastAsia="方正仿宋_GB2312" w:cs="Times New Roman"/>
                <w:kern w:val="0"/>
                <w:szCs w:val="21"/>
                <w:vertAlign w:val="subscript"/>
              </w:rPr>
              <w:t>2</w:t>
            </w:r>
          </w:p>
        </w:tc>
        <w:tc>
          <w:tcPr>
            <w:tcW w:w="2841" w:type="dxa"/>
          </w:tcPr>
          <w:p w14:paraId="2B4681DF">
            <w:pPr>
              <w:pStyle w:val="12"/>
              <w:rPr>
                <w:rFonts w:hAnsi="Times New Roman" w:eastAsia="方正仿宋_GB2312" w:cs="Times New Roman"/>
                <w:kern w:val="0"/>
                <w:szCs w:val="21"/>
              </w:rPr>
            </w:pPr>
            <w:r>
              <w:rPr>
                <w:rFonts w:hint="eastAsia" w:hAnsi="Times New Roman" w:eastAsia="方正仿宋_GB2312" w:cs="Times New Roman"/>
                <w:kern w:val="0"/>
                <w:szCs w:val="21"/>
              </w:rPr>
              <w:t>364</w:t>
            </w:r>
          </w:p>
        </w:tc>
      </w:tr>
      <w:tr w14:paraId="662FE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A3781F1">
            <w:pPr>
              <w:pStyle w:val="12"/>
              <w:rPr>
                <w:rFonts w:hAnsi="Times New Roman" w:eastAsia="方正仿宋_GB2312" w:cs="Times New Roman"/>
                <w:kern w:val="0"/>
                <w:szCs w:val="21"/>
              </w:rPr>
            </w:pPr>
            <w:r>
              <w:rPr>
                <w:rFonts w:hint="eastAsia" w:hAnsi="Times New Roman" w:eastAsia="方正仿宋_GB2312" w:cs="Times New Roman"/>
                <w:kern w:val="0"/>
                <w:szCs w:val="21"/>
              </w:rPr>
              <w:t>HFC-143a</w:t>
            </w:r>
          </w:p>
        </w:tc>
        <w:tc>
          <w:tcPr>
            <w:tcW w:w="2841" w:type="dxa"/>
          </w:tcPr>
          <w:p w14:paraId="19324419">
            <w:pPr>
              <w:pStyle w:val="12"/>
              <w:rPr>
                <w:rFonts w:hAnsi="Times New Roman" w:eastAsia="方正仿宋_GB2312" w:cs="Times New Roman"/>
                <w:kern w:val="0"/>
                <w:szCs w:val="21"/>
              </w:rPr>
            </w:pPr>
            <w:r>
              <w:rPr>
                <w:rFonts w:hint="eastAsia" w:hAnsi="Times New Roman" w:eastAsia="方正仿宋_GB2312" w:cs="Times New Roman"/>
                <w:kern w:val="0"/>
                <w:szCs w:val="21"/>
              </w:rPr>
              <w:t>CH</w:t>
            </w:r>
            <w:r>
              <w:rPr>
                <w:rFonts w:hint="eastAsia" w:hAnsi="Times New Roman" w:eastAsia="方正仿宋_GB2312" w:cs="Times New Roman"/>
                <w:kern w:val="0"/>
                <w:szCs w:val="21"/>
                <w:vertAlign w:val="subscript"/>
              </w:rPr>
              <w:t>3</w:t>
            </w:r>
            <w:r>
              <w:rPr>
                <w:rFonts w:hint="eastAsia" w:hAnsi="Times New Roman" w:eastAsia="方正仿宋_GB2312" w:cs="Times New Roman"/>
                <w:kern w:val="0"/>
                <w:szCs w:val="21"/>
              </w:rPr>
              <w:t>CF</w:t>
            </w:r>
            <w:r>
              <w:rPr>
                <w:rFonts w:hint="eastAsia" w:hAnsi="Times New Roman" w:eastAsia="方正仿宋_GB2312" w:cs="Times New Roman"/>
                <w:kern w:val="0"/>
                <w:szCs w:val="21"/>
                <w:vertAlign w:val="subscript"/>
              </w:rPr>
              <w:t>3</w:t>
            </w:r>
          </w:p>
        </w:tc>
        <w:tc>
          <w:tcPr>
            <w:tcW w:w="2841" w:type="dxa"/>
          </w:tcPr>
          <w:p w14:paraId="1C9AB86B">
            <w:pPr>
              <w:pStyle w:val="12"/>
              <w:rPr>
                <w:rFonts w:hAnsi="Times New Roman" w:eastAsia="方正仿宋_GB2312" w:cs="Times New Roman"/>
                <w:kern w:val="0"/>
                <w:szCs w:val="21"/>
              </w:rPr>
            </w:pPr>
            <w:r>
              <w:rPr>
                <w:rFonts w:hint="eastAsia" w:hAnsi="Times New Roman" w:eastAsia="方正仿宋_GB2312" w:cs="Times New Roman"/>
                <w:kern w:val="0"/>
                <w:szCs w:val="21"/>
              </w:rPr>
              <w:t>5810</w:t>
            </w:r>
          </w:p>
        </w:tc>
      </w:tr>
      <w:tr w14:paraId="5EDE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5FDC1FE">
            <w:pPr>
              <w:pStyle w:val="12"/>
              <w:rPr>
                <w:rFonts w:hAnsi="Times New Roman" w:eastAsia="方正仿宋_GB2312" w:cs="Times New Roman"/>
                <w:kern w:val="0"/>
                <w:szCs w:val="21"/>
              </w:rPr>
            </w:pPr>
            <w:r>
              <w:rPr>
                <w:rFonts w:hint="eastAsia" w:hAnsi="Times New Roman" w:eastAsia="方正仿宋_GB2312" w:cs="Times New Roman"/>
                <w:kern w:val="0"/>
                <w:szCs w:val="21"/>
              </w:rPr>
              <w:t>HFC-152a</w:t>
            </w:r>
          </w:p>
        </w:tc>
        <w:tc>
          <w:tcPr>
            <w:tcW w:w="2841" w:type="dxa"/>
          </w:tcPr>
          <w:p w14:paraId="6C170D95">
            <w:pPr>
              <w:pStyle w:val="12"/>
              <w:rPr>
                <w:rFonts w:hAnsi="Times New Roman" w:eastAsia="方正仿宋_GB2312" w:cs="Times New Roman"/>
                <w:kern w:val="0"/>
                <w:szCs w:val="21"/>
              </w:rPr>
            </w:pPr>
            <w:r>
              <w:rPr>
                <w:rFonts w:hint="eastAsia" w:hAnsi="Times New Roman" w:eastAsia="方正仿宋_GB2312" w:cs="Times New Roman"/>
                <w:kern w:val="0"/>
                <w:szCs w:val="21"/>
              </w:rPr>
              <w:t>C</w:t>
            </w:r>
            <w:r>
              <w:rPr>
                <w:rFonts w:hint="eastAsia" w:hAnsi="Times New Roman" w:eastAsia="方正仿宋_GB2312" w:cs="Times New Roman"/>
                <w:kern w:val="0"/>
                <w:szCs w:val="21"/>
                <w:vertAlign w:val="subscript"/>
              </w:rPr>
              <w:t>2</w:t>
            </w:r>
            <w:r>
              <w:rPr>
                <w:rFonts w:hint="eastAsia" w:hAnsi="Times New Roman" w:eastAsia="方正仿宋_GB2312" w:cs="Times New Roman"/>
                <w:kern w:val="0"/>
                <w:szCs w:val="21"/>
              </w:rPr>
              <w:t>H</w:t>
            </w:r>
            <w:r>
              <w:rPr>
                <w:rFonts w:hint="eastAsia" w:hAnsi="Times New Roman" w:eastAsia="方正仿宋_GB2312" w:cs="Times New Roman"/>
                <w:kern w:val="0"/>
                <w:szCs w:val="21"/>
                <w:vertAlign w:val="subscript"/>
              </w:rPr>
              <w:t>4</w:t>
            </w:r>
            <w:r>
              <w:rPr>
                <w:rFonts w:hint="eastAsia" w:hAnsi="Times New Roman" w:eastAsia="方正仿宋_GB2312" w:cs="Times New Roman"/>
                <w:kern w:val="0"/>
                <w:szCs w:val="21"/>
              </w:rPr>
              <w:t>F</w:t>
            </w:r>
            <w:r>
              <w:rPr>
                <w:rFonts w:hint="eastAsia" w:hAnsi="Times New Roman" w:eastAsia="方正仿宋_GB2312" w:cs="Times New Roman"/>
                <w:kern w:val="0"/>
                <w:szCs w:val="21"/>
                <w:vertAlign w:val="subscript"/>
              </w:rPr>
              <w:t>2</w:t>
            </w:r>
          </w:p>
        </w:tc>
        <w:tc>
          <w:tcPr>
            <w:tcW w:w="2841" w:type="dxa"/>
          </w:tcPr>
          <w:p w14:paraId="3ED27F51">
            <w:pPr>
              <w:pStyle w:val="12"/>
              <w:rPr>
                <w:rFonts w:hAnsi="Times New Roman" w:eastAsia="方正仿宋_GB2312" w:cs="Times New Roman"/>
                <w:kern w:val="0"/>
                <w:szCs w:val="21"/>
              </w:rPr>
            </w:pPr>
            <w:r>
              <w:rPr>
                <w:rFonts w:hint="eastAsia" w:hAnsi="Times New Roman" w:eastAsia="方正仿宋_GB2312" w:cs="Times New Roman"/>
                <w:kern w:val="0"/>
                <w:szCs w:val="21"/>
              </w:rPr>
              <w:t>164</w:t>
            </w:r>
          </w:p>
        </w:tc>
      </w:tr>
      <w:tr w14:paraId="6E0B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449D229">
            <w:pPr>
              <w:pStyle w:val="12"/>
              <w:rPr>
                <w:rFonts w:hAnsi="Times New Roman" w:eastAsia="方正仿宋_GB2312" w:cs="Times New Roman"/>
                <w:kern w:val="0"/>
                <w:szCs w:val="21"/>
              </w:rPr>
            </w:pPr>
            <w:r>
              <w:rPr>
                <w:rFonts w:hint="eastAsia" w:hAnsi="Times New Roman" w:eastAsia="方正仿宋_GB2312" w:cs="Times New Roman"/>
                <w:kern w:val="0"/>
                <w:szCs w:val="21"/>
              </w:rPr>
              <w:t>HFC-227ea</w:t>
            </w:r>
          </w:p>
        </w:tc>
        <w:tc>
          <w:tcPr>
            <w:tcW w:w="2841" w:type="dxa"/>
          </w:tcPr>
          <w:p w14:paraId="52C0DB92">
            <w:pPr>
              <w:pStyle w:val="12"/>
              <w:rPr>
                <w:rFonts w:hAnsi="Times New Roman" w:eastAsia="方正仿宋_GB2312" w:cs="Times New Roman"/>
                <w:kern w:val="0"/>
                <w:szCs w:val="21"/>
              </w:rPr>
            </w:pPr>
            <w:r>
              <w:rPr>
                <w:rFonts w:hint="eastAsia" w:hAnsi="Times New Roman" w:eastAsia="方正仿宋_GB2312" w:cs="Times New Roman"/>
                <w:kern w:val="0"/>
                <w:szCs w:val="21"/>
              </w:rPr>
              <w:t>C</w:t>
            </w:r>
            <w:r>
              <w:rPr>
                <w:rFonts w:hint="eastAsia" w:hAnsi="Times New Roman" w:eastAsia="方正仿宋_GB2312" w:cs="Times New Roman"/>
                <w:kern w:val="0"/>
                <w:szCs w:val="21"/>
                <w:vertAlign w:val="subscript"/>
              </w:rPr>
              <w:t>3</w:t>
            </w:r>
            <w:r>
              <w:rPr>
                <w:rFonts w:hint="eastAsia" w:hAnsi="Times New Roman" w:eastAsia="方正仿宋_GB2312" w:cs="Times New Roman"/>
                <w:kern w:val="0"/>
                <w:szCs w:val="21"/>
              </w:rPr>
              <w:t>HF</w:t>
            </w:r>
            <w:r>
              <w:rPr>
                <w:rFonts w:hint="eastAsia" w:hAnsi="Times New Roman" w:eastAsia="方正仿宋_GB2312" w:cs="Times New Roman"/>
                <w:kern w:val="0"/>
                <w:szCs w:val="21"/>
                <w:vertAlign w:val="subscript"/>
              </w:rPr>
              <w:t>7</w:t>
            </w:r>
          </w:p>
        </w:tc>
        <w:tc>
          <w:tcPr>
            <w:tcW w:w="2841" w:type="dxa"/>
          </w:tcPr>
          <w:p w14:paraId="1E0528F3">
            <w:pPr>
              <w:pStyle w:val="12"/>
              <w:rPr>
                <w:rFonts w:hAnsi="Times New Roman" w:eastAsia="方正仿宋_GB2312" w:cs="Times New Roman"/>
                <w:kern w:val="0"/>
                <w:szCs w:val="21"/>
              </w:rPr>
            </w:pPr>
            <w:r>
              <w:rPr>
                <w:rFonts w:hint="eastAsia" w:hAnsi="Times New Roman" w:eastAsia="方正仿宋_GB2312" w:cs="Times New Roman"/>
                <w:kern w:val="0"/>
                <w:szCs w:val="21"/>
              </w:rPr>
              <w:t>3600</w:t>
            </w:r>
          </w:p>
        </w:tc>
      </w:tr>
      <w:tr w14:paraId="1058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B511520">
            <w:pPr>
              <w:pStyle w:val="12"/>
              <w:rPr>
                <w:rFonts w:hAnsi="Times New Roman" w:eastAsia="方正仿宋_GB2312" w:cs="Times New Roman"/>
                <w:kern w:val="0"/>
                <w:szCs w:val="21"/>
              </w:rPr>
            </w:pPr>
            <w:r>
              <w:rPr>
                <w:rFonts w:hint="eastAsia" w:hAnsi="Times New Roman" w:eastAsia="方正仿宋_GB2312" w:cs="Times New Roman"/>
                <w:kern w:val="0"/>
                <w:szCs w:val="21"/>
              </w:rPr>
              <w:t>HFC-236fa</w:t>
            </w:r>
          </w:p>
        </w:tc>
        <w:tc>
          <w:tcPr>
            <w:tcW w:w="2841" w:type="dxa"/>
          </w:tcPr>
          <w:p w14:paraId="1A9F684B">
            <w:pPr>
              <w:pStyle w:val="12"/>
              <w:rPr>
                <w:rFonts w:hAnsi="Times New Roman" w:eastAsia="方正仿宋_GB2312" w:cs="Times New Roman"/>
                <w:kern w:val="0"/>
                <w:szCs w:val="21"/>
              </w:rPr>
            </w:pPr>
            <w:r>
              <w:rPr>
                <w:rFonts w:hint="eastAsia" w:hAnsi="Times New Roman" w:eastAsia="方正仿宋_GB2312" w:cs="Times New Roman"/>
                <w:kern w:val="0"/>
                <w:szCs w:val="21"/>
              </w:rPr>
              <w:t>C</w:t>
            </w:r>
            <w:r>
              <w:rPr>
                <w:rFonts w:hint="eastAsia" w:hAnsi="Times New Roman" w:eastAsia="方正仿宋_GB2312" w:cs="Times New Roman"/>
                <w:kern w:val="0"/>
                <w:szCs w:val="21"/>
                <w:vertAlign w:val="subscript"/>
              </w:rPr>
              <w:t>3</w:t>
            </w:r>
            <w:r>
              <w:rPr>
                <w:rFonts w:hint="eastAsia" w:hAnsi="Times New Roman" w:eastAsia="方正仿宋_GB2312" w:cs="Times New Roman"/>
                <w:kern w:val="0"/>
                <w:szCs w:val="21"/>
              </w:rPr>
              <w:t>H</w:t>
            </w:r>
            <w:r>
              <w:rPr>
                <w:rFonts w:hint="eastAsia" w:hAnsi="Times New Roman" w:eastAsia="方正仿宋_GB2312" w:cs="Times New Roman"/>
                <w:kern w:val="0"/>
                <w:szCs w:val="21"/>
                <w:vertAlign w:val="subscript"/>
              </w:rPr>
              <w:t>2</w:t>
            </w:r>
            <w:r>
              <w:rPr>
                <w:rFonts w:hint="eastAsia" w:hAnsi="Times New Roman" w:eastAsia="方正仿宋_GB2312" w:cs="Times New Roman"/>
                <w:kern w:val="0"/>
                <w:szCs w:val="21"/>
              </w:rPr>
              <w:t>F</w:t>
            </w:r>
            <w:r>
              <w:rPr>
                <w:rFonts w:hint="eastAsia" w:hAnsi="Times New Roman" w:eastAsia="方正仿宋_GB2312" w:cs="Times New Roman"/>
                <w:kern w:val="0"/>
                <w:szCs w:val="21"/>
                <w:vertAlign w:val="subscript"/>
              </w:rPr>
              <w:t>6</w:t>
            </w:r>
          </w:p>
        </w:tc>
        <w:tc>
          <w:tcPr>
            <w:tcW w:w="2841" w:type="dxa"/>
          </w:tcPr>
          <w:p w14:paraId="32FDDC43">
            <w:pPr>
              <w:pStyle w:val="12"/>
              <w:rPr>
                <w:rFonts w:hAnsi="Times New Roman" w:eastAsia="方正仿宋_GB2312" w:cs="Times New Roman"/>
                <w:kern w:val="0"/>
                <w:szCs w:val="21"/>
              </w:rPr>
            </w:pPr>
            <w:r>
              <w:rPr>
                <w:rFonts w:hint="eastAsia" w:hAnsi="Times New Roman" w:eastAsia="方正仿宋_GB2312" w:cs="Times New Roman"/>
                <w:kern w:val="0"/>
                <w:szCs w:val="21"/>
              </w:rPr>
              <w:t>8690</w:t>
            </w:r>
          </w:p>
        </w:tc>
      </w:tr>
      <w:tr w14:paraId="0E1B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14:paraId="43F7581D">
            <w:pPr>
              <w:pStyle w:val="12"/>
              <w:jc w:val="center"/>
              <w:rPr>
                <w:rFonts w:hAnsi="Times New Roman" w:eastAsia="方正仿宋_GB2312" w:cs="Times New Roman"/>
                <w:kern w:val="0"/>
                <w:szCs w:val="21"/>
              </w:rPr>
            </w:pPr>
            <w:r>
              <w:rPr>
                <w:rFonts w:hint="eastAsia" w:hAnsi="Times New Roman" w:eastAsia="方正仿宋_GB2312" w:cs="Times New Roman"/>
                <w:kern w:val="0"/>
                <w:szCs w:val="21"/>
              </w:rPr>
              <w:t>全氟碳化物（PFCS）</w:t>
            </w:r>
          </w:p>
        </w:tc>
      </w:tr>
      <w:tr w14:paraId="3EC4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E245496">
            <w:pPr>
              <w:pStyle w:val="12"/>
              <w:rPr>
                <w:rFonts w:hAnsi="Times New Roman" w:eastAsia="方正仿宋_GB2312" w:cs="Times New Roman"/>
                <w:kern w:val="0"/>
                <w:szCs w:val="21"/>
              </w:rPr>
            </w:pPr>
            <w:r>
              <w:rPr>
                <w:rFonts w:hint="eastAsia" w:hAnsi="Times New Roman" w:eastAsia="方正仿宋_GB2312" w:cs="Times New Roman"/>
                <w:kern w:val="0"/>
                <w:szCs w:val="21"/>
              </w:rPr>
              <w:t>全氟甲烷（四氟甲烷）</w:t>
            </w:r>
          </w:p>
        </w:tc>
        <w:tc>
          <w:tcPr>
            <w:tcW w:w="2841" w:type="dxa"/>
          </w:tcPr>
          <w:p w14:paraId="59966AAB">
            <w:pPr>
              <w:pStyle w:val="12"/>
              <w:rPr>
                <w:rFonts w:hAnsi="Times New Roman" w:eastAsia="方正仿宋_GB2312" w:cs="Times New Roman"/>
                <w:kern w:val="0"/>
                <w:szCs w:val="21"/>
              </w:rPr>
            </w:pPr>
            <w:r>
              <w:rPr>
                <w:rFonts w:hint="eastAsia" w:hAnsi="Times New Roman" w:eastAsia="方正仿宋_GB2312" w:cs="Times New Roman"/>
                <w:kern w:val="0"/>
                <w:szCs w:val="21"/>
              </w:rPr>
              <w:t>CF</w:t>
            </w:r>
            <w:r>
              <w:rPr>
                <w:rFonts w:hint="eastAsia" w:hAnsi="Times New Roman" w:eastAsia="方正仿宋_GB2312" w:cs="Times New Roman"/>
                <w:kern w:val="0"/>
                <w:szCs w:val="21"/>
                <w:vertAlign w:val="subscript"/>
              </w:rPr>
              <w:t>4</w:t>
            </w:r>
          </w:p>
        </w:tc>
        <w:tc>
          <w:tcPr>
            <w:tcW w:w="2841" w:type="dxa"/>
          </w:tcPr>
          <w:p w14:paraId="51839405">
            <w:pPr>
              <w:pStyle w:val="12"/>
              <w:rPr>
                <w:rFonts w:hAnsi="Times New Roman" w:eastAsia="方正仿宋_GB2312" w:cs="Times New Roman"/>
                <w:kern w:val="0"/>
                <w:szCs w:val="21"/>
              </w:rPr>
            </w:pPr>
            <w:r>
              <w:rPr>
                <w:rFonts w:hint="eastAsia" w:hAnsi="Times New Roman" w:eastAsia="方正仿宋_GB2312" w:cs="Times New Roman"/>
                <w:kern w:val="0"/>
                <w:szCs w:val="21"/>
              </w:rPr>
              <w:t>7380</w:t>
            </w:r>
          </w:p>
        </w:tc>
      </w:tr>
      <w:tr w14:paraId="2C23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5931910">
            <w:pPr>
              <w:pStyle w:val="12"/>
              <w:ind w:firstLine="0" w:firstLineChars="0"/>
              <w:jc w:val="center"/>
              <w:rPr>
                <w:rFonts w:hAnsi="Times New Roman" w:eastAsia="方正仿宋_GB2312" w:cs="Times New Roman"/>
                <w:kern w:val="0"/>
                <w:szCs w:val="21"/>
              </w:rPr>
            </w:pPr>
            <w:r>
              <w:rPr>
                <w:rFonts w:hint="eastAsia" w:hAnsi="Times New Roman" w:eastAsia="方正仿宋_GB2312" w:cs="Times New Roman"/>
                <w:kern w:val="0"/>
                <w:szCs w:val="21"/>
              </w:rPr>
              <w:t>全氟乙烷（六氟乙烷）</w:t>
            </w:r>
          </w:p>
        </w:tc>
        <w:tc>
          <w:tcPr>
            <w:tcW w:w="2841" w:type="dxa"/>
          </w:tcPr>
          <w:p w14:paraId="4DCF6E14">
            <w:pPr>
              <w:pStyle w:val="12"/>
              <w:rPr>
                <w:rFonts w:hAnsi="Times New Roman" w:eastAsia="方正仿宋_GB2312" w:cs="Times New Roman"/>
                <w:kern w:val="0"/>
                <w:szCs w:val="21"/>
              </w:rPr>
            </w:pPr>
            <w:r>
              <w:rPr>
                <w:rFonts w:hint="eastAsia" w:hAnsi="Times New Roman" w:eastAsia="方正仿宋_GB2312" w:cs="Times New Roman"/>
                <w:kern w:val="0"/>
                <w:szCs w:val="21"/>
              </w:rPr>
              <w:t>C</w:t>
            </w:r>
            <w:r>
              <w:rPr>
                <w:rFonts w:hint="eastAsia" w:hAnsi="Times New Roman" w:eastAsia="方正仿宋_GB2312" w:cs="Times New Roman"/>
                <w:kern w:val="0"/>
                <w:szCs w:val="21"/>
                <w:vertAlign w:val="subscript"/>
              </w:rPr>
              <w:t>2</w:t>
            </w:r>
            <w:r>
              <w:rPr>
                <w:rFonts w:hint="eastAsia" w:hAnsi="Times New Roman" w:eastAsia="方正仿宋_GB2312" w:cs="Times New Roman"/>
                <w:kern w:val="0"/>
                <w:szCs w:val="21"/>
              </w:rPr>
              <w:t>F</w:t>
            </w:r>
            <w:r>
              <w:rPr>
                <w:rFonts w:hint="eastAsia" w:hAnsi="Times New Roman" w:eastAsia="方正仿宋_GB2312" w:cs="Times New Roman"/>
                <w:kern w:val="0"/>
                <w:szCs w:val="21"/>
                <w:vertAlign w:val="subscript"/>
              </w:rPr>
              <w:t>6</w:t>
            </w:r>
          </w:p>
        </w:tc>
        <w:tc>
          <w:tcPr>
            <w:tcW w:w="2841" w:type="dxa"/>
          </w:tcPr>
          <w:p w14:paraId="542C2493">
            <w:pPr>
              <w:pStyle w:val="12"/>
              <w:rPr>
                <w:rFonts w:hAnsi="Times New Roman" w:eastAsia="方正仿宋_GB2312" w:cs="Times New Roman"/>
                <w:kern w:val="0"/>
                <w:szCs w:val="21"/>
              </w:rPr>
            </w:pPr>
            <w:r>
              <w:rPr>
                <w:rFonts w:hint="eastAsia" w:hAnsi="Times New Roman" w:eastAsia="方正仿宋_GB2312" w:cs="Times New Roman"/>
                <w:kern w:val="0"/>
                <w:szCs w:val="21"/>
              </w:rPr>
              <w:t>12400</w:t>
            </w:r>
          </w:p>
        </w:tc>
      </w:tr>
      <w:tr w14:paraId="501C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14F8548">
            <w:pPr>
              <w:pStyle w:val="12"/>
              <w:rPr>
                <w:rFonts w:hAnsi="Times New Roman" w:eastAsia="方正仿宋_GB2312" w:cs="Times New Roman"/>
                <w:kern w:val="0"/>
                <w:szCs w:val="21"/>
              </w:rPr>
            </w:pPr>
            <w:r>
              <w:rPr>
                <w:rFonts w:hint="eastAsia" w:hAnsi="Times New Roman" w:eastAsia="方正仿宋_GB2312" w:cs="Times New Roman"/>
                <w:kern w:val="0"/>
                <w:szCs w:val="21"/>
              </w:rPr>
              <w:t>全氟丙烷</w:t>
            </w:r>
          </w:p>
        </w:tc>
        <w:tc>
          <w:tcPr>
            <w:tcW w:w="2841" w:type="dxa"/>
          </w:tcPr>
          <w:p w14:paraId="3C0C3901">
            <w:pPr>
              <w:pStyle w:val="12"/>
              <w:rPr>
                <w:rFonts w:hAnsi="Times New Roman" w:eastAsia="方正仿宋_GB2312" w:cs="Times New Roman"/>
                <w:kern w:val="0"/>
                <w:szCs w:val="21"/>
              </w:rPr>
            </w:pPr>
            <w:r>
              <w:rPr>
                <w:rFonts w:hint="eastAsia" w:hAnsi="Times New Roman" w:eastAsia="方正仿宋_GB2312" w:cs="Times New Roman"/>
                <w:kern w:val="0"/>
                <w:szCs w:val="21"/>
              </w:rPr>
              <w:t>C</w:t>
            </w:r>
            <w:r>
              <w:rPr>
                <w:rFonts w:hint="eastAsia" w:hAnsi="Times New Roman" w:eastAsia="方正仿宋_GB2312" w:cs="Times New Roman"/>
                <w:kern w:val="0"/>
                <w:szCs w:val="21"/>
                <w:vertAlign w:val="subscript"/>
              </w:rPr>
              <w:t>3</w:t>
            </w:r>
            <w:r>
              <w:rPr>
                <w:rFonts w:hint="eastAsia" w:hAnsi="Times New Roman" w:eastAsia="方正仿宋_GB2312" w:cs="Times New Roman"/>
                <w:kern w:val="0"/>
                <w:szCs w:val="21"/>
              </w:rPr>
              <w:t>F</w:t>
            </w:r>
            <w:r>
              <w:rPr>
                <w:rFonts w:hint="eastAsia" w:hAnsi="Times New Roman" w:eastAsia="方正仿宋_GB2312" w:cs="Times New Roman"/>
                <w:kern w:val="0"/>
                <w:szCs w:val="21"/>
                <w:vertAlign w:val="subscript"/>
              </w:rPr>
              <w:t>8</w:t>
            </w:r>
          </w:p>
        </w:tc>
        <w:tc>
          <w:tcPr>
            <w:tcW w:w="2841" w:type="dxa"/>
          </w:tcPr>
          <w:p w14:paraId="39A7A47E">
            <w:pPr>
              <w:pStyle w:val="12"/>
              <w:rPr>
                <w:rFonts w:hAnsi="Times New Roman" w:eastAsia="方正仿宋_GB2312" w:cs="Times New Roman"/>
                <w:kern w:val="0"/>
                <w:szCs w:val="21"/>
              </w:rPr>
            </w:pPr>
            <w:r>
              <w:rPr>
                <w:rFonts w:hint="eastAsia" w:hAnsi="Times New Roman" w:eastAsia="方正仿宋_GB2312" w:cs="Times New Roman"/>
                <w:kern w:val="0"/>
                <w:szCs w:val="21"/>
              </w:rPr>
              <w:t>9290</w:t>
            </w:r>
          </w:p>
        </w:tc>
      </w:tr>
      <w:tr w14:paraId="74DB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840" w:type="dxa"/>
          </w:tcPr>
          <w:p w14:paraId="778868E3">
            <w:pPr>
              <w:pStyle w:val="12"/>
              <w:rPr>
                <w:rFonts w:hAnsi="Times New Roman" w:eastAsia="方正仿宋_GB2312" w:cs="Times New Roman"/>
                <w:kern w:val="0"/>
                <w:szCs w:val="21"/>
              </w:rPr>
            </w:pPr>
            <w:r>
              <w:rPr>
                <w:rFonts w:hint="eastAsia" w:hAnsi="Times New Roman" w:eastAsia="方正仿宋_GB2312" w:cs="Times New Roman"/>
                <w:kern w:val="0"/>
                <w:szCs w:val="21"/>
              </w:rPr>
              <w:t>全氟丁烷</w:t>
            </w:r>
          </w:p>
        </w:tc>
        <w:tc>
          <w:tcPr>
            <w:tcW w:w="2841" w:type="dxa"/>
          </w:tcPr>
          <w:p w14:paraId="7FEF6E06">
            <w:pPr>
              <w:pStyle w:val="12"/>
              <w:rPr>
                <w:rFonts w:hAnsi="Times New Roman" w:eastAsia="方正仿宋_GB2312" w:cs="Times New Roman"/>
                <w:kern w:val="0"/>
                <w:szCs w:val="21"/>
              </w:rPr>
            </w:pPr>
            <w:r>
              <w:rPr>
                <w:rFonts w:hint="eastAsia" w:hAnsi="Times New Roman" w:eastAsia="方正仿宋_GB2312" w:cs="Times New Roman"/>
                <w:kern w:val="0"/>
                <w:szCs w:val="21"/>
              </w:rPr>
              <w:t>C</w:t>
            </w:r>
            <w:r>
              <w:rPr>
                <w:rFonts w:hint="eastAsia" w:hAnsi="Times New Roman" w:eastAsia="方正仿宋_GB2312" w:cs="Times New Roman"/>
                <w:kern w:val="0"/>
                <w:szCs w:val="21"/>
                <w:vertAlign w:val="subscript"/>
              </w:rPr>
              <w:t>4</w:t>
            </w:r>
            <w:r>
              <w:rPr>
                <w:rFonts w:hint="eastAsia" w:hAnsi="Times New Roman" w:eastAsia="方正仿宋_GB2312" w:cs="Times New Roman"/>
                <w:kern w:val="0"/>
                <w:szCs w:val="21"/>
              </w:rPr>
              <w:t>F</w:t>
            </w:r>
            <w:r>
              <w:rPr>
                <w:rFonts w:hint="eastAsia" w:hAnsi="Times New Roman" w:eastAsia="方正仿宋_GB2312" w:cs="Times New Roman"/>
                <w:kern w:val="0"/>
                <w:szCs w:val="21"/>
                <w:vertAlign w:val="subscript"/>
              </w:rPr>
              <w:t>10</w:t>
            </w:r>
          </w:p>
        </w:tc>
        <w:tc>
          <w:tcPr>
            <w:tcW w:w="2841" w:type="dxa"/>
          </w:tcPr>
          <w:p w14:paraId="6D59AFFE">
            <w:pPr>
              <w:pStyle w:val="12"/>
              <w:rPr>
                <w:rFonts w:hAnsi="Times New Roman" w:eastAsia="方正仿宋_GB2312" w:cs="Times New Roman"/>
                <w:kern w:val="0"/>
                <w:szCs w:val="21"/>
              </w:rPr>
            </w:pPr>
            <w:r>
              <w:rPr>
                <w:rFonts w:hint="eastAsia" w:hAnsi="Times New Roman" w:eastAsia="方正仿宋_GB2312" w:cs="Times New Roman"/>
                <w:kern w:val="0"/>
                <w:szCs w:val="21"/>
              </w:rPr>
              <w:t>10000</w:t>
            </w:r>
          </w:p>
        </w:tc>
      </w:tr>
      <w:tr w14:paraId="2D92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EDFC7B9">
            <w:pPr>
              <w:pStyle w:val="12"/>
              <w:rPr>
                <w:rFonts w:hAnsi="Times New Roman" w:eastAsia="方正仿宋_GB2312" w:cs="Times New Roman"/>
                <w:kern w:val="0"/>
                <w:szCs w:val="21"/>
              </w:rPr>
            </w:pPr>
            <w:r>
              <w:rPr>
                <w:rFonts w:hint="eastAsia" w:hAnsi="Times New Roman" w:eastAsia="方正仿宋_GB2312" w:cs="Times New Roman"/>
                <w:kern w:val="0"/>
                <w:szCs w:val="21"/>
              </w:rPr>
              <w:t>全氟环丁烷</w:t>
            </w:r>
          </w:p>
        </w:tc>
        <w:tc>
          <w:tcPr>
            <w:tcW w:w="2841" w:type="dxa"/>
          </w:tcPr>
          <w:p w14:paraId="23027E9B">
            <w:pPr>
              <w:pStyle w:val="12"/>
              <w:rPr>
                <w:rFonts w:hAnsi="Times New Roman" w:eastAsia="方正仿宋_GB2312" w:cs="Times New Roman"/>
                <w:kern w:val="0"/>
                <w:szCs w:val="21"/>
              </w:rPr>
            </w:pPr>
            <w:r>
              <w:rPr>
                <w:rFonts w:hint="eastAsia" w:hAnsi="Times New Roman" w:eastAsia="方正仿宋_GB2312" w:cs="Times New Roman"/>
                <w:kern w:val="0"/>
                <w:szCs w:val="21"/>
              </w:rPr>
              <w:t>C</w:t>
            </w:r>
            <w:r>
              <w:rPr>
                <w:rFonts w:hint="eastAsia" w:hAnsi="Times New Roman" w:eastAsia="方正仿宋_GB2312" w:cs="Times New Roman"/>
                <w:kern w:val="0"/>
                <w:szCs w:val="21"/>
                <w:vertAlign w:val="subscript"/>
              </w:rPr>
              <w:t>4</w:t>
            </w:r>
            <w:r>
              <w:rPr>
                <w:rFonts w:hint="eastAsia" w:hAnsi="Times New Roman" w:eastAsia="方正仿宋_GB2312" w:cs="Times New Roman"/>
                <w:kern w:val="0"/>
                <w:szCs w:val="21"/>
              </w:rPr>
              <w:t>F</w:t>
            </w:r>
            <w:r>
              <w:rPr>
                <w:rFonts w:hint="eastAsia" w:hAnsi="Times New Roman" w:eastAsia="方正仿宋_GB2312" w:cs="Times New Roman"/>
                <w:kern w:val="0"/>
                <w:szCs w:val="21"/>
                <w:vertAlign w:val="subscript"/>
              </w:rPr>
              <w:t>8</w:t>
            </w:r>
          </w:p>
        </w:tc>
        <w:tc>
          <w:tcPr>
            <w:tcW w:w="2841" w:type="dxa"/>
          </w:tcPr>
          <w:p w14:paraId="458A3356">
            <w:pPr>
              <w:pStyle w:val="12"/>
              <w:rPr>
                <w:rFonts w:hAnsi="Times New Roman" w:eastAsia="方正仿宋_GB2312" w:cs="Times New Roman"/>
                <w:kern w:val="0"/>
                <w:szCs w:val="21"/>
              </w:rPr>
            </w:pPr>
            <w:r>
              <w:rPr>
                <w:rFonts w:hint="eastAsia" w:hAnsi="Times New Roman" w:eastAsia="方正仿宋_GB2312" w:cs="Times New Roman"/>
                <w:kern w:val="0"/>
                <w:szCs w:val="21"/>
              </w:rPr>
              <w:t>10200</w:t>
            </w:r>
          </w:p>
        </w:tc>
      </w:tr>
      <w:tr w14:paraId="02C3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2B2B7A6">
            <w:pPr>
              <w:pStyle w:val="12"/>
              <w:rPr>
                <w:rFonts w:hAnsi="Times New Roman" w:eastAsia="方正仿宋_GB2312" w:cs="Times New Roman"/>
                <w:kern w:val="0"/>
                <w:szCs w:val="21"/>
              </w:rPr>
            </w:pPr>
            <w:r>
              <w:rPr>
                <w:rFonts w:hint="eastAsia" w:hAnsi="Times New Roman" w:eastAsia="方正仿宋_GB2312" w:cs="Times New Roman"/>
                <w:kern w:val="0"/>
                <w:szCs w:val="21"/>
              </w:rPr>
              <w:t>全氟戊烷</w:t>
            </w:r>
          </w:p>
        </w:tc>
        <w:tc>
          <w:tcPr>
            <w:tcW w:w="2841" w:type="dxa"/>
          </w:tcPr>
          <w:p w14:paraId="391A6B6D">
            <w:pPr>
              <w:pStyle w:val="12"/>
              <w:rPr>
                <w:rFonts w:hAnsi="Times New Roman" w:eastAsia="方正仿宋_GB2312" w:cs="Times New Roman"/>
                <w:kern w:val="0"/>
                <w:szCs w:val="21"/>
              </w:rPr>
            </w:pPr>
            <w:r>
              <w:rPr>
                <w:rFonts w:hint="eastAsia" w:hAnsi="Times New Roman" w:eastAsia="方正仿宋_GB2312" w:cs="Times New Roman"/>
                <w:kern w:val="0"/>
                <w:szCs w:val="21"/>
              </w:rPr>
              <w:t>C</w:t>
            </w:r>
            <w:r>
              <w:rPr>
                <w:rFonts w:hint="eastAsia" w:hAnsi="Times New Roman" w:eastAsia="方正仿宋_GB2312" w:cs="Times New Roman"/>
                <w:kern w:val="0"/>
                <w:szCs w:val="21"/>
                <w:vertAlign w:val="subscript"/>
              </w:rPr>
              <w:t>5</w:t>
            </w:r>
            <w:r>
              <w:rPr>
                <w:rFonts w:hint="eastAsia" w:hAnsi="Times New Roman" w:eastAsia="方正仿宋_GB2312" w:cs="Times New Roman"/>
                <w:kern w:val="0"/>
                <w:szCs w:val="21"/>
              </w:rPr>
              <w:t>F</w:t>
            </w:r>
            <w:r>
              <w:rPr>
                <w:rFonts w:hint="eastAsia" w:hAnsi="Times New Roman" w:eastAsia="方正仿宋_GB2312" w:cs="Times New Roman"/>
                <w:kern w:val="0"/>
                <w:szCs w:val="21"/>
                <w:vertAlign w:val="subscript"/>
              </w:rPr>
              <w:t>12</w:t>
            </w:r>
          </w:p>
        </w:tc>
        <w:tc>
          <w:tcPr>
            <w:tcW w:w="2841" w:type="dxa"/>
          </w:tcPr>
          <w:p w14:paraId="213CC9D3">
            <w:pPr>
              <w:pStyle w:val="12"/>
              <w:rPr>
                <w:rFonts w:hAnsi="Times New Roman" w:eastAsia="方正仿宋_GB2312" w:cs="Times New Roman"/>
                <w:kern w:val="0"/>
                <w:szCs w:val="21"/>
              </w:rPr>
            </w:pPr>
            <w:r>
              <w:rPr>
                <w:rFonts w:hint="eastAsia" w:hAnsi="Times New Roman" w:eastAsia="方正仿宋_GB2312" w:cs="Times New Roman"/>
                <w:kern w:val="0"/>
                <w:szCs w:val="21"/>
              </w:rPr>
              <w:t>9220</w:t>
            </w:r>
          </w:p>
        </w:tc>
      </w:tr>
      <w:tr w14:paraId="1064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CA8B0FF">
            <w:pPr>
              <w:pStyle w:val="12"/>
              <w:rPr>
                <w:rFonts w:hAnsi="Times New Roman" w:eastAsia="方正仿宋_GB2312" w:cs="Times New Roman"/>
                <w:kern w:val="0"/>
                <w:szCs w:val="21"/>
              </w:rPr>
            </w:pPr>
            <w:r>
              <w:rPr>
                <w:rFonts w:hint="eastAsia" w:hAnsi="Times New Roman" w:eastAsia="方正仿宋_GB2312" w:cs="Times New Roman"/>
                <w:kern w:val="0"/>
                <w:szCs w:val="21"/>
              </w:rPr>
              <w:t>全氟己烷</w:t>
            </w:r>
          </w:p>
        </w:tc>
        <w:tc>
          <w:tcPr>
            <w:tcW w:w="2841" w:type="dxa"/>
          </w:tcPr>
          <w:p w14:paraId="2C93E9A9">
            <w:pPr>
              <w:pStyle w:val="12"/>
              <w:rPr>
                <w:rFonts w:hAnsi="Times New Roman" w:eastAsia="方正仿宋_GB2312" w:cs="Times New Roman"/>
                <w:kern w:val="0"/>
                <w:szCs w:val="21"/>
              </w:rPr>
            </w:pPr>
            <w:r>
              <w:rPr>
                <w:rFonts w:hint="eastAsia" w:hAnsi="Times New Roman" w:eastAsia="方正仿宋_GB2312" w:cs="Times New Roman"/>
                <w:kern w:val="0"/>
                <w:szCs w:val="21"/>
              </w:rPr>
              <w:t>C</w:t>
            </w:r>
            <w:r>
              <w:rPr>
                <w:rFonts w:hint="eastAsia" w:hAnsi="Times New Roman" w:eastAsia="方正仿宋_GB2312" w:cs="Times New Roman"/>
                <w:kern w:val="0"/>
                <w:szCs w:val="21"/>
                <w:vertAlign w:val="subscript"/>
              </w:rPr>
              <w:t>6</w:t>
            </w:r>
            <w:r>
              <w:rPr>
                <w:rFonts w:hint="eastAsia" w:hAnsi="Times New Roman" w:eastAsia="方正仿宋_GB2312" w:cs="Times New Roman"/>
                <w:kern w:val="0"/>
                <w:szCs w:val="21"/>
              </w:rPr>
              <w:t>F</w:t>
            </w:r>
            <w:r>
              <w:rPr>
                <w:rFonts w:hint="eastAsia" w:hAnsi="Times New Roman" w:eastAsia="方正仿宋_GB2312" w:cs="Times New Roman"/>
                <w:kern w:val="0"/>
                <w:szCs w:val="21"/>
                <w:vertAlign w:val="subscript"/>
              </w:rPr>
              <w:t>14</w:t>
            </w:r>
          </w:p>
        </w:tc>
        <w:tc>
          <w:tcPr>
            <w:tcW w:w="2841" w:type="dxa"/>
          </w:tcPr>
          <w:p w14:paraId="30068DFC">
            <w:pPr>
              <w:pStyle w:val="12"/>
              <w:rPr>
                <w:rFonts w:hAnsi="Times New Roman" w:eastAsia="方正仿宋_GB2312" w:cs="Times New Roman"/>
                <w:kern w:val="0"/>
                <w:szCs w:val="21"/>
              </w:rPr>
            </w:pPr>
            <w:r>
              <w:rPr>
                <w:rFonts w:hint="eastAsia" w:hAnsi="Times New Roman" w:eastAsia="方正仿宋_GB2312" w:cs="Times New Roman"/>
                <w:kern w:val="0"/>
                <w:szCs w:val="21"/>
              </w:rPr>
              <w:t>8620</w:t>
            </w:r>
          </w:p>
        </w:tc>
      </w:tr>
      <w:tr w14:paraId="1A6B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14:paraId="40D1256E">
            <w:pPr>
              <w:pStyle w:val="12"/>
              <w:rPr>
                <w:rFonts w:hAnsi="Times New Roman" w:eastAsia="方正仿宋_GB2312" w:cs="Times New Roman"/>
                <w:kern w:val="0"/>
                <w:szCs w:val="21"/>
              </w:rPr>
            </w:pPr>
            <w:r>
              <w:rPr>
                <w:rFonts w:hint="eastAsia" w:hAnsi="Times New Roman" w:eastAsia="方正仿宋_GB2312" w:cs="Times New Roman"/>
                <w:kern w:val="0"/>
                <w:szCs w:val="21"/>
              </w:rPr>
              <w:t>备注：部分GHG的GWP来源于IPCC《气候变化报告2021：自然科学基础 第一工作组对IPCC第六次评估报告的贡献》</w:t>
            </w:r>
          </w:p>
        </w:tc>
      </w:tr>
    </w:tbl>
    <w:p w14:paraId="2B296024">
      <w:pPr>
        <w:rPr>
          <w:szCs w:val="21"/>
          <w:highlight w:val="yellow"/>
        </w:rPr>
      </w:pPr>
    </w:p>
    <w:p w14:paraId="73A3FAAC">
      <w:pPr>
        <w:pageBreakBefore/>
        <w:numPr>
          <w:ilvl w:val="0"/>
          <w:numId w:val="9"/>
        </w:numPr>
        <w:rPr>
          <w:szCs w:val="21"/>
          <w:highlight w:val="yellow"/>
        </w:rPr>
        <w:sectPr>
          <w:pgSz w:w="11906" w:h="16838"/>
          <w:pgMar w:top="1440" w:right="1800" w:bottom="1440" w:left="1800" w:header="851" w:footer="992" w:gutter="0"/>
          <w:cols w:space="720" w:num="1"/>
          <w:docGrid w:type="lines" w:linePitch="312" w:charSpace="0"/>
        </w:sectPr>
      </w:pPr>
    </w:p>
    <w:p w14:paraId="248B1F14">
      <w:pPr>
        <w:pStyle w:val="3"/>
        <w:pageBreakBefore/>
        <w:spacing w:before="80"/>
        <w:rPr>
          <w:rFonts w:ascii="宋体" w:hAnsi="宋体" w:eastAsia="宋体" w:cs="宋体"/>
          <w:b/>
          <w:bCs/>
          <w:color w:val="auto"/>
          <w:sz w:val="21"/>
          <w:szCs w:val="21"/>
        </w:rPr>
      </w:pPr>
      <w:bookmarkStart w:id="62" w:name="_Toc2433"/>
      <w:r>
        <w:rPr>
          <w:rFonts w:hint="eastAsia" w:ascii="宋体" w:hAnsi="宋体" w:eastAsia="宋体" w:cs="宋体"/>
          <w:b/>
          <w:bCs/>
          <w:color w:val="auto"/>
          <w:sz w:val="21"/>
          <w:szCs w:val="21"/>
        </w:rPr>
        <w:t>附录2</w:t>
      </w:r>
      <w:bookmarkEnd w:id="62"/>
    </w:p>
    <w:p w14:paraId="26EE084E">
      <w:pPr>
        <w:pStyle w:val="12"/>
        <w:ind w:firstLine="422"/>
        <w:jc w:val="center"/>
        <w:rPr>
          <w:rFonts w:ascii="宋体" w:hAnsi="宋体" w:eastAsia="宋体" w:cs="宋体"/>
          <w:b/>
          <w:bCs/>
          <w:kern w:val="0"/>
          <w:szCs w:val="21"/>
          <w:lang w:bidi="ar"/>
        </w:rPr>
      </w:pPr>
      <w:r>
        <w:rPr>
          <w:rFonts w:hint="eastAsia" w:ascii="宋体" w:hAnsi="宋体" w:eastAsia="宋体" w:cs="宋体"/>
          <w:b/>
          <w:bCs/>
          <w:kern w:val="0"/>
          <w:szCs w:val="21"/>
          <w:lang w:bidi="ar"/>
        </w:rPr>
        <w:t>煤矸石微晶玻璃环境效益评估指南</w:t>
      </w:r>
    </w:p>
    <w:p w14:paraId="78003C49">
      <w:pPr>
        <w:pStyle w:val="12"/>
        <w:ind w:firstLine="422"/>
        <w:jc w:val="center"/>
        <w:rPr>
          <w:rFonts w:ascii="宋体" w:hAnsi="宋体" w:eastAsia="宋体" w:cs="宋体"/>
          <w:b/>
          <w:bCs/>
          <w:kern w:val="0"/>
          <w:szCs w:val="21"/>
          <w:lang w:bidi="ar"/>
        </w:rPr>
      </w:pPr>
    </w:p>
    <w:p w14:paraId="16AA662E">
      <w:pPr>
        <w:pStyle w:val="12"/>
        <w:ind w:firstLine="422"/>
        <w:jc w:val="left"/>
        <w:rPr>
          <w:rFonts w:ascii="宋体" w:hAnsi="宋体" w:eastAsia="宋体" w:cs="宋体"/>
          <w:b/>
          <w:bCs/>
          <w:kern w:val="0"/>
          <w:szCs w:val="21"/>
          <w:lang w:bidi="ar"/>
        </w:rPr>
      </w:pPr>
      <w:r>
        <w:rPr>
          <w:rFonts w:ascii="宋体" w:hAnsi="宋体" w:eastAsia="宋体" w:cs="宋体"/>
          <w:b/>
          <w:bCs/>
          <w:kern w:val="0"/>
          <w:szCs w:val="21"/>
          <w:lang w:bidi="ar"/>
        </w:rPr>
        <w:t>1</w:t>
      </w:r>
      <w:r>
        <w:rPr>
          <w:rFonts w:hint="eastAsia" w:ascii="宋体" w:hAnsi="宋体" w:eastAsia="宋体" w:cs="宋体"/>
          <w:b/>
          <w:bCs/>
          <w:kern w:val="0"/>
          <w:szCs w:val="21"/>
          <w:lang w:bidi="ar"/>
        </w:rPr>
        <w:t>目的与</w:t>
      </w:r>
      <w:r>
        <w:rPr>
          <w:rFonts w:ascii="宋体" w:hAnsi="宋体" w:eastAsia="宋体" w:cs="宋体"/>
          <w:b/>
          <w:bCs/>
          <w:kern w:val="0"/>
          <w:szCs w:val="21"/>
          <w:lang w:bidi="ar"/>
        </w:rPr>
        <w:t>范围</w:t>
      </w:r>
    </w:p>
    <w:p w14:paraId="246A1CF3">
      <w:pPr>
        <w:pStyle w:val="12"/>
        <w:jc w:val="left"/>
        <w:rPr>
          <w:rFonts w:ascii="宋体" w:hAnsi="宋体" w:eastAsia="宋体" w:cs="宋体"/>
          <w:kern w:val="0"/>
          <w:szCs w:val="21"/>
          <w:lang w:bidi="ar"/>
        </w:rPr>
      </w:pPr>
      <w:r>
        <w:rPr>
          <w:rFonts w:hint="eastAsia" w:ascii="宋体" w:hAnsi="宋体" w:eastAsia="宋体" w:cs="宋体"/>
          <w:kern w:val="0"/>
          <w:szCs w:val="21"/>
          <w:lang w:bidi="ar"/>
        </w:rPr>
        <w:t>按照本标准量化了产品碳足迹的组织，提供进一步评估和报告煤矸石微晶玻璃产品全生命周期环境效益的指导。评估旨在量化产品因使用煤矸石等固体废弃物、优化生产工艺及提升产品性能，相比于基准情景所带来的净环境效益。</w:t>
      </w:r>
      <w:r>
        <w:rPr>
          <w:rFonts w:ascii="宋体" w:hAnsi="宋体" w:eastAsia="宋体" w:cs="宋体"/>
          <w:kern w:val="0"/>
          <w:szCs w:val="21"/>
          <w:lang w:bidi="ar"/>
        </w:rPr>
        <w:br w:type="textWrapping"/>
      </w:r>
      <w:r>
        <w:rPr>
          <w:rFonts w:hint="eastAsia" w:ascii="宋体" w:hAnsi="宋体" w:eastAsia="宋体" w:cs="宋体"/>
          <w:kern w:val="0"/>
          <w:szCs w:val="21"/>
          <w:lang w:bidi="ar"/>
        </w:rPr>
        <w:t xml:space="preserve">   </w:t>
      </w:r>
      <w:r>
        <w:rPr>
          <w:rFonts w:ascii="宋体" w:hAnsi="宋体" w:eastAsia="宋体" w:cs="宋体"/>
          <w:kern w:val="0"/>
          <w:szCs w:val="21"/>
          <w:lang w:bidi="ar"/>
        </w:rPr>
        <w:t>本指南是资料性的，鼓励组织在发布产品碳足迹报告时，自愿采纳本指南展示更全面的环境绩效。</w:t>
      </w:r>
    </w:p>
    <w:p w14:paraId="3657379C">
      <w:pPr>
        <w:pStyle w:val="12"/>
        <w:ind w:firstLine="422"/>
        <w:jc w:val="left"/>
        <w:rPr>
          <w:rFonts w:ascii="宋体" w:hAnsi="宋体" w:eastAsia="宋体" w:cs="宋体"/>
          <w:b/>
          <w:bCs/>
          <w:kern w:val="0"/>
          <w:szCs w:val="21"/>
          <w:lang w:bidi="ar"/>
        </w:rPr>
      </w:pPr>
      <w:r>
        <w:rPr>
          <w:rFonts w:hint="eastAsia" w:ascii="宋体" w:hAnsi="宋体" w:eastAsia="宋体" w:cs="宋体"/>
          <w:b/>
          <w:bCs/>
          <w:kern w:val="0"/>
          <w:szCs w:val="21"/>
          <w:lang w:bidi="ar"/>
        </w:rPr>
        <w:t>2术语和定义</w:t>
      </w:r>
    </w:p>
    <w:p w14:paraId="069F2B54">
      <w:pPr>
        <w:pStyle w:val="12"/>
        <w:jc w:val="left"/>
        <w:rPr>
          <w:rFonts w:ascii="宋体" w:hAnsi="宋体" w:eastAsia="宋体" w:cs="宋体"/>
          <w:kern w:val="0"/>
          <w:szCs w:val="21"/>
          <w:lang w:bidi="ar"/>
        </w:rPr>
      </w:pPr>
      <w:r>
        <w:rPr>
          <w:rFonts w:hint="eastAsia" w:ascii="宋体" w:hAnsi="宋体" w:eastAsia="宋体" w:cs="宋体"/>
          <w:kern w:val="0"/>
          <w:szCs w:val="21"/>
          <w:lang w:bidi="ar"/>
        </w:rPr>
        <w:t>下列术语和定义适用于本文件。</w:t>
      </w:r>
    </w:p>
    <w:p w14:paraId="3008B634">
      <w:pPr>
        <w:pStyle w:val="12"/>
        <w:ind w:firstLine="422"/>
        <w:jc w:val="left"/>
        <w:rPr>
          <w:rFonts w:ascii="宋体" w:hAnsi="宋体" w:eastAsia="宋体" w:cs="宋体"/>
          <w:kern w:val="0"/>
          <w:szCs w:val="21"/>
          <w:lang w:bidi="ar"/>
        </w:rPr>
      </w:pPr>
      <w:r>
        <w:rPr>
          <w:rFonts w:hint="eastAsia" w:ascii="宋体" w:hAnsi="宋体" w:eastAsia="宋体" w:cs="宋体"/>
          <w:b/>
          <w:bCs/>
          <w:kern w:val="0"/>
          <w:szCs w:val="21"/>
          <w:lang w:bidi="ar"/>
        </w:rPr>
        <w:t xml:space="preserve">基准 </w:t>
      </w:r>
      <w:r>
        <w:rPr>
          <w:rFonts w:hAnsi="Times New Roman" w:eastAsia="宋体" w:cs="Times New Roman"/>
          <w:b/>
          <w:bCs/>
          <w:kern w:val="0"/>
          <w:szCs w:val="21"/>
          <w:lang w:bidi="ar"/>
        </w:rPr>
        <w:t>benchmark</w:t>
      </w:r>
    </w:p>
    <w:p w14:paraId="1D7D3682">
      <w:pPr>
        <w:pStyle w:val="12"/>
        <w:jc w:val="left"/>
        <w:rPr>
          <w:rFonts w:ascii="宋体" w:hAnsi="宋体" w:eastAsia="宋体" w:cs="宋体"/>
          <w:kern w:val="0"/>
          <w:szCs w:val="21"/>
          <w:lang w:bidi="ar"/>
        </w:rPr>
      </w:pPr>
      <w:r>
        <w:rPr>
          <w:rFonts w:hint="eastAsia" w:ascii="宋体" w:hAnsi="宋体" w:eastAsia="宋体" w:cs="宋体"/>
          <w:kern w:val="0"/>
          <w:szCs w:val="21"/>
          <w:lang w:bidi="ar"/>
        </w:rPr>
        <w:t>可以用来做比较的参照点。</w:t>
      </w:r>
    </w:p>
    <w:p w14:paraId="1647630D">
      <w:pPr>
        <w:pStyle w:val="12"/>
        <w:ind w:firstLine="422"/>
        <w:jc w:val="left"/>
        <w:rPr>
          <w:rFonts w:ascii="宋体" w:hAnsi="宋体" w:eastAsia="宋体" w:cs="宋体"/>
          <w:kern w:val="0"/>
          <w:szCs w:val="21"/>
          <w:lang w:bidi="ar"/>
        </w:rPr>
      </w:pPr>
      <w:r>
        <w:rPr>
          <w:rFonts w:hint="eastAsia" w:ascii="宋体" w:hAnsi="宋体" w:eastAsia="宋体" w:cs="宋体"/>
          <w:b/>
          <w:bCs/>
          <w:kern w:val="0"/>
          <w:szCs w:val="21"/>
          <w:lang w:bidi="ar"/>
        </w:rPr>
        <w:t>环境</w:t>
      </w:r>
      <w:r>
        <w:rPr>
          <w:rFonts w:hint="eastAsia" w:ascii="宋体" w:hAnsi="宋体" w:eastAsia="宋体" w:cs="宋体"/>
          <w:kern w:val="0"/>
          <w:szCs w:val="21"/>
          <w:lang w:bidi="ar"/>
        </w:rPr>
        <w:t xml:space="preserve"> </w:t>
      </w:r>
      <w:r>
        <w:rPr>
          <w:rFonts w:hint="eastAsia" w:hAnsi="Times New Roman" w:eastAsia="宋体" w:cs="Times New Roman"/>
          <w:b/>
          <w:bCs/>
          <w:kern w:val="0"/>
          <w:szCs w:val="21"/>
          <w:lang w:bidi="ar"/>
        </w:rPr>
        <w:t>environment</w:t>
      </w:r>
    </w:p>
    <w:p w14:paraId="3213E064">
      <w:pPr>
        <w:pStyle w:val="12"/>
        <w:jc w:val="left"/>
        <w:rPr>
          <w:rFonts w:ascii="宋体" w:hAnsi="宋体" w:eastAsia="宋体" w:cs="宋体"/>
          <w:kern w:val="0"/>
          <w:szCs w:val="21"/>
          <w:lang w:bidi="ar"/>
        </w:rPr>
      </w:pPr>
      <w:r>
        <w:rPr>
          <w:rFonts w:hint="eastAsia" w:ascii="宋体" w:hAnsi="宋体" w:eastAsia="宋体" w:cs="宋体"/>
          <w:kern w:val="0"/>
          <w:szCs w:val="21"/>
          <w:lang w:bidi="ar"/>
        </w:rPr>
        <w:t>组织运行活动的外部存在，包括空气、水、土地、自然资源、植物、动物、人，以及它们之间的相互关系。</w:t>
      </w:r>
    </w:p>
    <w:p w14:paraId="72673D87">
      <w:pPr>
        <w:pStyle w:val="12"/>
        <w:ind w:firstLine="422"/>
        <w:jc w:val="left"/>
        <w:rPr>
          <w:rFonts w:hAnsi="Times New Roman" w:eastAsia="宋体" w:cs="Times New Roman"/>
          <w:b/>
          <w:bCs/>
          <w:kern w:val="0"/>
          <w:szCs w:val="21"/>
          <w:lang w:bidi="ar"/>
        </w:rPr>
      </w:pPr>
      <w:r>
        <w:rPr>
          <w:rFonts w:hint="eastAsia" w:ascii="宋体" w:hAnsi="宋体" w:eastAsia="宋体" w:cs="宋体"/>
          <w:b/>
          <w:bCs/>
          <w:kern w:val="0"/>
          <w:szCs w:val="21"/>
          <w:lang w:bidi="ar"/>
        </w:rPr>
        <w:t>环境因素</w:t>
      </w:r>
      <w:r>
        <w:rPr>
          <w:rFonts w:hint="eastAsia" w:ascii="宋体" w:hAnsi="宋体" w:eastAsia="宋体" w:cs="宋体"/>
          <w:kern w:val="0"/>
          <w:szCs w:val="21"/>
          <w:lang w:bidi="ar"/>
        </w:rPr>
        <w:t xml:space="preserve"> </w:t>
      </w:r>
      <w:r>
        <w:rPr>
          <w:rFonts w:hint="eastAsia" w:hAnsi="Times New Roman" w:eastAsia="宋体" w:cs="Times New Roman"/>
          <w:b/>
          <w:bCs/>
          <w:kern w:val="0"/>
          <w:szCs w:val="21"/>
          <w:lang w:bidi="ar"/>
        </w:rPr>
        <w:t>environment aspect</w:t>
      </w:r>
    </w:p>
    <w:p w14:paraId="6C89A47B">
      <w:pPr>
        <w:pStyle w:val="12"/>
        <w:jc w:val="left"/>
        <w:rPr>
          <w:rFonts w:ascii="宋体" w:hAnsi="宋体" w:eastAsia="宋体" w:cs="宋体"/>
          <w:kern w:val="0"/>
          <w:szCs w:val="21"/>
          <w:lang w:bidi="ar"/>
        </w:rPr>
      </w:pPr>
      <w:r>
        <w:rPr>
          <w:rFonts w:hint="eastAsia" w:ascii="宋体" w:hAnsi="宋体" w:eastAsia="宋体" w:cs="宋体"/>
          <w:kern w:val="0"/>
          <w:szCs w:val="21"/>
          <w:lang w:bidi="ar"/>
        </w:rPr>
        <w:t>一个组织的活动、产品和服务中与环境或能与环境发生相互作用的要素。</w:t>
      </w:r>
    </w:p>
    <w:p w14:paraId="41814095">
      <w:pPr>
        <w:pStyle w:val="12"/>
        <w:ind w:firstLine="422"/>
        <w:jc w:val="left"/>
        <w:rPr>
          <w:rFonts w:hAnsi="Times New Roman" w:eastAsia="宋体" w:cs="Times New Roman"/>
          <w:b/>
          <w:bCs/>
          <w:kern w:val="0"/>
          <w:szCs w:val="21"/>
          <w:lang w:bidi="ar"/>
        </w:rPr>
      </w:pPr>
      <w:r>
        <w:rPr>
          <w:rFonts w:hint="eastAsia" w:ascii="宋体" w:hAnsi="宋体" w:eastAsia="宋体" w:cs="宋体"/>
          <w:b/>
          <w:bCs/>
          <w:kern w:val="0"/>
          <w:szCs w:val="21"/>
          <w:lang w:bidi="ar"/>
        </w:rPr>
        <w:t xml:space="preserve">环境状况参数 </w:t>
      </w:r>
      <w:r>
        <w:rPr>
          <w:rFonts w:hint="eastAsia" w:hAnsi="Times New Roman" w:eastAsia="宋体" w:cs="Times New Roman"/>
          <w:b/>
          <w:bCs/>
          <w:kern w:val="0"/>
          <w:szCs w:val="21"/>
          <w:lang w:bidi="ar"/>
        </w:rPr>
        <w:t>environmental condition indicators</w:t>
      </w:r>
    </w:p>
    <w:p w14:paraId="07F83D73">
      <w:pPr>
        <w:pStyle w:val="12"/>
        <w:jc w:val="left"/>
        <w:rPr>
          <w:rFonts w:ascii="宋体" w:hAnsi="宋体" w:eastAsia="宋体" w:cs="宋体"/>
          <w:kern w:val="0"/>
          <w:szCs w:val="21"/>
          <w:lang w:bidi="ar"/>
        </w:rPr>
      </w:pPr>
      <w:r>
        <w:rPr>
          <w:rFonts w:hint="eastAsia" w:ascii="宋体" w:hAnsi="宋体" w:eastAsia="宋体" w:cs="宋体"/>
          <w:kern w:val="0"/>
          <w:szCs w:val="21"/>
          <w:lang w:bidi="ar"/>
        </w:rPr>
        <w:t>提供关于地方、区域、国家或全球环境状况信息的环境绩效参数。</w:t>
      </w:r>
    </w:p>
    <w:p w14:paraId="15CA821B">
      <w:pPr>
        <w:pStyle w:val="12"/>
        <w:ind w:firstLine="422"/>
        <w:jc w:val="left"/>
        <w:rPr>
          <w:rFonts w:hAnsi="Times New Roman" w:eastAsia="宋体" w:cs="Times New Roman"/>
          <w:b/>
          <w:bCs/>
          <w:kern w:val="0"/>
          <w:szCs w:val="21"/>
          <w:lang w:bidi="ar"/>
        </w:rPr>
      </w:pPr>
      <w:r>
        <w:rPr>
          <w:rFonts w:hint="eastAsia" w:ascii="宋体" w:hAnsi="宋体" w:eastAsia="宋体" w:cs="宋体"/>
          <w:b/>
          <w:bCs/>
          <w:kern w:val="0"/>
          <w:szCs w:val="21"/>
          <w:lang w:bidi="ar"/>
        </w:rPr>
        <w:t xml:space="preserve">环境影响 </w:t>
      </w:r>
      <w:r>
        <w:rPr>
          <w:rFonts w:hint="eastAsia" w:hAnsi="Times New Roman" w:eastAsia="宋体" w:cs="Times New Roman"/>
          <w:b/>
          <w:bCs/>
          <w:kern w:val="0"/>
          <w:szCs w:val="21"/>
          <w:lang w:bidi="ar"/>
        </w:rPr>
        <w:t>environmental impact</w:t>
      </w:r>
    </w:p>
    <w:p w14:paraId="3777D66A">
      <w:pPr>
        <w:pStyle w:val="12"/>
        <w:jc w:val="left"/>
        <w:rPr>
          <w:rFonts w:ascii="宋体" w:hAnsi="宋体" w:eastAsia="宋体" w:cs="宋体"/>
          <w:kern w:val="0"/>
          <w:szCs w:val="21"/>
          <w:lang w:bidi="ar"/>
        </w:rPr>
      </w:pPr>
      <w:r>
        <w:rPr>
          <w:rFonts w:hint="eastAsia" w:ascii="宋体" w:hAnsi="宋体" w:eastAsia="宋体" w:cs="宋体"/>
          <w:kern w:val="0"/>
          <w:szCs w:val="21"/>
          <w:lang w:bidi="ar"/>
        </w:rPr>
        <w:t>全部或部分地由组织的环境因素给环境造成的不利或有益的变化。</w:t>
      </w:r>
    </w:p>
    <w:p w14:paraId="17C13CB1">
      <w:pPr>
        <w:pStyle w:val="12"/>
        <w:ind w:firstLine="422"/>
        <w:jc w:val="left"/>
        <w:rPr>
          <w:rFonts w:hAnsi="Times New Roman" w:eastAsia="宋体" w:cs="Times New Roman"/>
          <w:b/>
          <w:bCs/>
          <w:kern w:val="0"/>
          <w:szCs w:val="21"/>
          <w:lang w:bidi="ar"/>
        </w:rPr>
      </w:pPr>
      <w:r>
        <w:rPr>
          <w:rFonts w:hint="eastAsia" w:ascii="宋体" w:hAnsi="宋体" w:eastAsia="宋体" w:cs="宋体"/>
          <w:b/>
          <w:bCs/>
          <w:kern w:val="0"/>
          <w:szCs w:val="21"/>
          <w:lang w:bidi="ar"/>
        </w:rPr>
        <w:t>环境目标</w:t>
      </w:r>
      <w:r>
        <w:rPr>
          <w:rFonts w:hint="eastAsia" w:ascii="宋体" w:hAnsi="宋体" w:eastAsia="宋体" w:cs="宋体"/>
          <w:kern w:val="0"/>
          <w:szCs w:val="21"/>
          <w:lang w:bidi="ar"/>
        </w:rPr>
        <w:t xml:space="preserve"> </w:t>
      </w:r>
      <w:r>
        <w:rPr>
          <w:rFonts w:hint="eastAsia" w:hAnsi="Times New Roman" w:eastAsia="宋体" w:cs="Times New Roman"/>
          <w:b/>
          <w:bCs/>
          <w:kern w:val="0"/>
          <w:szCs w:val="21"/>
          <w:lang w:bidi="ar"/>
        </w:rPr>
        <w:t>environmental objective</w:t>
      </w:r>
    </w:p>
    <w:p w14:paraId="4022FFEB">
      <w:pPr>
        <w:pStyle w:val="12"/>
        <w:jc w:val="left"/>
        <w:rPr>
          <w:rFonts w:ascii="宋体" w:hAnsi="宋体" w:eastAsia="宋体" w:cs="宋体"/>
          <w:kern w:val="0"/>
          <w:szCs w:val="21"/>
          <w:lang w:bidi="ar"/>
        </w:rPr>
      </w:pPr>
      <w:r>
        <w:rPr>
          <w:rFonts w:hint="eastAsia" w:ascii="宋体" w:hAnsi="宋体" w:eastAsia="宋体" w:cs="宋体"/>
          <w:kern w:val="0"/>
          <w:szCs w:val="21"/>
          <w:lang w:bidi="ar"/>
        </w:rPr>
        <w:t>组织依据其环境方针建立的目标。</w:t>
      </w:r>
    </w:p>
    <w:p w14:paraId="50011B9F">
      <w:pPr>
        <w:pStyle w:val="12"/>
        <w:ind w:firstLine="422"/>
        <w:jc w:val="left"/>
        <w:rPr>
          <w:rFonts w:hAnsi="Times New Roman" w:eastAsia="宋体" w:cs="Times New Roman"/>
          <w:b/>
          <w:bCs/>
          <w:kern w:val="0"/>
          <w:szCs w:val="21"/>
          <w:lang w:bidi="ar"/>
        </w:rPr>
      </w:pPr>
      <w:r>
        <w:rPr>
          <w:rFonts w:hint="eastAsia" w:ascii="宋体" w:hAnsi="宋体" w:eastAsia="宋体" w:cs="宋体"/>
          <w:b/>
          <w:bCs/>
          <w:kern w:val="0"/>
          <w:szCs w:val="21"/>
          <w:lang w:bidi="ar"/>
        </w:rPr>
        <w:t>环境绩效</w:t>
      </w:r>
      <w:r>
        <w:rPr>
          <w:rFonts w:hint="eastAsia" w:ascii="宋体" w:hAnsi="宋体" w:eastAsia="宋体" w:cs="宋体"/>
          <w:kern w:val="0"/>
          <w:szCs w:val="21"/>
          <w:lang w:bidi="ar"/>
        </w:rPr>
        <w:t xml:space="preserve"> </w:t>
      </w:r>
      <w:r>
        <w:rPr>
          <w:rFonts w:hint="eastAsia" w:hAnsi="Times New Roman" w:eastAsia="宋体" w:cs="Times New Roman"/>
          <w:b/>
          <w:bCs/>
          <w:kern w:val="0"/>
          <w:szCs w:val="21"/>
          <w:lang w:bidi="ar"/>
        </w:rPr>
        <w:t>environmental performance</w:t>
      </w:r>
    </w:p>
    <w:p w14:paraId="44FF2CA8">
      <w:pPr>
        <w:pStyle w:val="12"/>
        <w:jc w:val="left"/>
        <w:rPr>
          <w:rFonts w:ascii="宋体" w:hAnsi="宋体" w:eastAsia="宋体" w:cs="宋体"/>
          <w:kern w:val="0"/>
          <w:szCs w:val="21"/>
          <w:lang w:bidi="ar"/>
        </w:rPr>
      </w:pPr>
      <w:r>
        <w:rPr>
          <w:rFonts w:hint="eastAsia" w:ascii="宋体" w:hAnsi="宋体" w:eastAsia="宋体" w:cs="宋体"/>
          <w:kern w:val="0"/>
          <w:szCs w:val="21"/>
          <w:lang w:bidi="ar"/>
        </w:rPr>
        <w:t>与环境因素的管理有关的绩效。</w:t>
      </w:r>
    </w:p>
    <w:p w14:paraId="172E7CC7">
      <w:pPr>
        <w:pStyle w:val="12"/>
        <w:ind w:firstLine="422"/>
        <w:jc w:val="left"/>
        <w:rPr>
          <w:rFonts w:hAnsi="Times New Roman" w:eastAsia="宋体" w:cs="Times New Roman"/>
          <w:b/>
          <w:bCs/>
          <w:kern w:val="0"/>
          <w:szCs w:val="21"/>
          <w:lang w:bidi="ar"/>
        </w:rPr>
      </w:pPr>
      <w:r>
        <w:rPr>
          <w:rFonts w:hint="eastAsia" w:ascii="宋体" w:hAnsi="宋体" w:eastAsia="宋体" w:cs="宋体"/>
          <w:b/>
          <w:bCs/>
          <w:kern w:val="0"/>
          <w:szCs w:val="21"/>
          <w:lang w:bidi="ar"/>
        </w:rPr>
        <w:t>环境绩效评价</w:t>
      </w:r>
      <w:r>
        <w:rPr>
          <w:rFonts w:hint="eastAsia" w:ascii="宋体" w:hAnsi="宋体" w:eastAsia="宋体" w:cs="宋体"/>
          <w:kern w:val="0"/>
          <w:szCs w:val="21"/>
          <w:lang w:bidi="ar"/>
        </w:rPr>
        <w:t xml:space="preserve"> </w:t>
      </w:r>
      <w:r>
        <w:rPr>
          <w:rFonts w:hint="eastAsia" w:hAnsi="Times New Roman" w:eastAsia="宋体" w:cs="Times New Roman"/>
          <w:b/>
          <w:bCs/>
          <w:kern w:val="0"/>
          <w:szCs w:val="21"/>
          <w:lang w:bidi="ar"/>
        </w:rPr>
        <w:t>environmental performance evaluation</w:t>
      </w:r>
    </w:p>
    <w:p w14:paraId="3D342F0F">
      <w:pPr>
        <w:pStyle w:val="12"/>
        <w:jc w:val="left"/>
        <w:rPr>
          <w:rFonts w:ascii="宋体" w:hAnsi="宋体" w:eastAsia="宋体" w:cs="宋体"/>
          <w:kern w:val="0"/>
          <w:szCs w:val="21"/>
          <w:lang w:bidi="ar"/>
        </w:rPr>
      </w:pPr>
      <w:r>
        <w:rPr>
          <w:rFonts w:hint="eastAsia" w:ascii="宋体" w:hAnsi="宋体" w:eastAsia="宋体" w:cs="宋体"/>
          <w:kern w:val="0"/>
          <w:szCs w:val="21"/>
          <w:lang w:bidi="ar"/>
        </w:rPr>
        <w:t>帮助管理者对组织的环境绩效进行决策的过程，包括选择参数、收集和分析数据、依据环境绩效准则评估、报告和交流环境绩效信息，并定期评审和改进这一过程。</w:t>
      </w:r>
    </w:p>
    <w:p w14:paraId="3879F7CA">
      <w:pPr>
        <w:pStyle w:val="12"/>
        <w:ind w:firstLine="422"/>
        <w:jc w:val="left"/>
        <w:rPr>
          <w:rFonts w:hAnsi="Times New Roman" w:eastAsia="宋体" w:cs="Times New Roman"/>
          <w:b/>
          <w:bCs/>
          <w:kern w:val="0"/>
          <w:szCs w:val="21"/>
          <w:lang w:bidi="ar"/>
        </w:rPr>
      </w:pPr>
      <w:r>
        <w:rPr>
          <w:rFonts w:hint="eastAsia" w:ascii="宋体" w:hAnsi="宋体" w:eastAsia="宋体" w:cs="宋体"/>
          <w:b/>
          <w:bCs/>
          <w:kern w:val="0"/>
          <w:szCs w:val="21"/>
          <w:lang w:bidi="ar"/>
        </w:rPr>
        <w:t xml:space="preserve">环境绩效参数 </w:t>
      </w:r>
      <w:r>
        <w:rPr>
          <w:rFonts w:hint="eastAsia" w:hAnsi="Times New Roman" w:eastAsia="宋体" w:cs="Times New Roman"/>
          <w:b/>
          <w:bCs/>
          <w:kern w:val="0"/>
          <w:szCs w:val="21"/>
          <w:lang w:bidi="ar"/>
        </w:rPr>
        <w:t>environmental performance indicator</w:t>
      </w:r>
    </w:p>
    <w:p w14:paraId="49A6C211">
      <w:pPr>
        <w:pStyle w:val="12"/>
        <w:ind w:left="420" w:leftChars="200" w:firstLine="0" w:firstLineChars="0"/>
        <w:jc w:val="left"/>
        <w:rPr>
          <w:rFonts w:hAnsi="Times New Roman" w:eastAsia="宋体" w:cs="Times New Roman"/>
          <w:b/>
          <w:bCs/>
          <w:kern w:val="0"/>
          <w:szCs w:val="21"/>
          <w:lang w:bidi="ar"/>
        </w:rPr>
      </w:pPr>
      <w:r>
        <w:rPr>
          <w:rFonts w:hint="eastAsia" w:ascii="宋体" w:hAnsi="宋体" w:eastAsia="宋体" w:cs="宋体"/>
          <w:kern w:val="0"/>
          <w:szCs w:val="21"/>
          <w:lang w:bidi="ar"/>
        </w:rPr>
        <w:t>表达组织环境绩效相关信息的特定形式。提供关于组织的环境绩效信息的参数。</w:t>
      </w:r>
      <w:r>
        <w:rPr>
          <w:rFonts w:hint="eastAsia" w:ascii="宋体" w:hAnsi="宋体" w:eastAsia="宋体" w:cs="宋体"/>
          <w:kern w:val="0"/>
          <w:szCs w:val="21"/>
          <w:lang w:bidi="ar"/>
        </w:rPr>
        <w:br w:type="textWrapping"/>
      </w:r>
      <w:r>
        <w:rPr>
          <w:rFonts w:hint="eastAsia" w:ascii="宋体" w:hAnsi="宋体" w:eastAsia="宋体" w:cs="宋体"/>
          <w:b/>
          <w:bCs/>
          <w:kern w:val="0"/>
          <w:szCs w:val="21"/>
          <w:lang w:bidi="ar"/>
        </w:rPr>
        <w:t>环境方针</w:t>
      </w:r>
      <w:r>
        <w:rPr>
          <w:rFonts w:hint="eastAsia" w:ascii="宋体" w:hAnsi="宋体" w:eastAsia="宋体" w:cs="宋体"/>
          <w:kern w:val="0"/>
          <w:szCs w:val="21"/>
          <w:lang w:bidi="ar"/>
        </w:rPr>
        <w:t xml:space="preserve"> </w:t>
      </w:r>
      <w:r>
        <w:rPr>
          <w:rFonts w:hint="eastAsia" w:hAnsi="Times New Roman" w:eastAsia="宋体" w:cs="Times New Roman"/>
          <w:b/>
          <w:bCs/>
          <w:kern w:val="0"/>
          <w:szCs w:val="21"/>
          <w:lang w:bidi="ar"/>
        </w:rPr>
        <w:t>environmental policy</w:t>
      </w:r>
    </w:p>
    <w:p w14:paraId="4474CECD">
      <w:pPr>
        <w:pStyle w:val="12"/>
        <w:ind w:left="420" w:leftChars="200" w:firstLine="0" w:firstLineChars="0"/>
        <w:jc w:val="left"/>
        <w:rPr>
          <w:rFonts w:ascii="宋体" w:hAnsi="宋体" w:eastAsia="宋体" w:cs="宋体"/>
          <w:kern w:val="0"/>
          <w:szCs w:val="21"/>
          <w:lang w:bidi="ar"/>
        </w:rPr>
      </w:pPr>
      <w:r>
        <w:rPr>
          <w:rFonts w:hint="eastAsia" w:ascii="宋体" w:hAnsi="宋体" w:eastAsia="宋体" w:cs="宋体"/>
          <w:kern w:val="0"/>
          <w:szCs w:val="21"/>
          <w:lang w:bidi="ar"/>
        </w:rPr>
        <w:t>由最高管理者就环境绩效正式表述的组织的意图和方向。</w:t>
      </w:r>
    </w:p>
    <w:p w14:paraId="5BF92396">
      <w:pPr>
        <w:pStyle w:val="12"/>
        <w:ind w:left="420" w:leftChars="200" w:firstLine="0" w:firstLineChars="0"/>
        <w:jc w:val="left"/>
        <w:rPr>
          <w:rFonts w:hAnsi="Times New Roman" w:eastAsia="宋体" w:cs="Times New Roman"/>
          <w:b/>
          <w:bCs/>
          <w:kern w:val="0"/>
          <w:szCs w:val="21"/>
          <w:lang w:bidi="ar"/>
        </w:rPr>
      </w:pPr>
      <w:r>
        <w:rPr>
          <w:rFonts w:hint="eastAsia" w:hAnsi="Times New Roman" w:eastAsia="宋体" w:cs="Times New Roman"/>
          <w:b/>
          <w:bCs/>
          <w:kern w:val="0"/>
          <w:szCs w:val="21"/>
          <w:lang w:bidi="ar"/>
        </w:rPr>
        <w:t>环境指标 environmental target</w:t>
      </w:r>
    </w:p>
    <w:p w14:paraId="72457A89">
      <w:pPr>
        <w:pStyle w:val="12"/>
        <w:ind w:left="420" w:leftChars="200" w:firstLine="0" w:firstLineChars="0"/>
        <w:jc w:val="left"/>
        <w:rPr>
          <w:rFonts w:ascii="宋体" w:hAnsi="宋体" w:eastAsia="宋体" w:cs="宋体"/>
          <w:kern w:val="0"/>
          <w:szCs w:val="21"/>
          <w:lang w:bidi="ar"/>
        </w:rPr>
      </w:pPr>
      <w:r>
        <w:rPr>
          <w:rFonts w:hint="eastAsia" w:ascii="宋体" w:hAnsi="宋体" w:eastAsia="宋体" w:cs="宋体"/>
          <w:kern w:val="0"/>
          <w:szCs w:val="21"/>
          <w:lang w:bidi="ar"/>
        </w:rPr>
        <w:t>由环境目标产生，为实现环境目标所需规定并满足的具体的绩效要求，他们可适用于整个组织或其局部。</w:t>
      </w:r>
    </w:p>
    <w:p w14:paraId="47A4C068">
      <w:pPr>
        <w:pStyle w:val="12"/>
        <w:ind w:left="420" w:leftChars="200" w:firstLine="0" w:firstLineChars="0"/>
        <w:jc w:val="left"/>
        <w:rPr>
          <w:rFonts w:hAnsi="Times New Roman" w:eastAsia="宋体" w:cs="Times New Roman"/>
          <w:b/>
          <w:bCs/>
          <w:kern w:val="0"/>
          <w:szCs w:val="21"/>
          <w:lang w:bidi="ar"/>
        </w:rPr>
      </w:pPr>
      <w:r>
        <w:rPr>
          <w:rFonts w:hint="eastAsia" w:hAnsi="Times New Roman" w:eastAsia="宋体" w:cs="Times New Roman"/>
          <w:b/>
          <w:bCs/>
          <w:kern w:val="0"/>
          <w:szCs w:val="21"/>
          <w:lang w:bidi="ar"/>
        </w:rPr>
        <w:t>相关方</w:t>
      </w:r>
      <w:r>
        <w:rPr>
          <w:rFonts w:hint="eastAsia" w:ascii="宋体" w:hAnsi="宋体" w:eastAsia="宋体" w:cs="宋体"/>
          <w:kern w:val="0"/>
          <w:szCs w:val="21"/>
          <w:lang w:bidi="ar"/>
        </w:rPr>
        <w:t xml:space="preserve"> </w:t>
      </w:r>
      <w:r>
        <w:rPr>
          <w:rFonts w:hint="eastAsia" w:hAnsi="Times New Roman" w:eastAsia="宋体" w:cs="Times New Roman"/>
          <w:b/>
          <w:bCs/>
          <w:kern w:val="0"/>
          <w:szCs w:val="21"/>
          <w:lang w:bidi="ar"/>
        </w:rPr>
        <w:t>interested party</w:t>
      </w:r>
    </w:p>
    <w:p w14:paraId="1261F79B">
      <w:pPr>
        <w:pStyle w:val="12"/>
        <w:ind w:left="420" w:leftChars="200" w:firstLine="0" w:firstLineChars="0"/>
        <w:jc w:val="left"/>
        <w:rPr>
          <w:rFonts w:ascii="宋体" w:hAnsi="宋体" w:eastAsia="宋体" w:cs="宋体"/>
          <w:kern w:val="0"/>
          <w:szCs w:val="21"/>
          <w:lang w:bidi="ar"/>
        </w:rPr>
      </w:pPr>
      <w:r>
        <w:rPr>
          <w:rFonts w:hint="eastAsia" w:ascii="宋体" w:hAnsi="宋体" w:eastAsia="宋体" w:cs="宋体"/>
          <w:kern w:val="0"/>
          <w:szCs w:val="21"/>
          <w:lang w:bidi="ar"/>
        </w:rPr>
        <w:t>能够影响决策或活动、受决策或活动影响，或感受自身受到决策或活动影响的个人或组织。</w:t>
      </w:r>
    </w:p>
    <w:p w14:paraId="35B4649E">
      <w:pPr>
        <w:pStyle w:val="12"/>
        <w:ind w:left="420" w:leftChars="200" w:firstLine="0" w:firstLineChars="0"/>
        <w:jc w:val="left"/>
        <w:rPr>
          <w:rFonts w:hAnsi="Times New Roman" w:eastAsia="宋体" w:cs="Times New Roman"/>
          <w:b/>
          <w:bCs/>
          <w:kern w:val="0"/>
          <w:szCs w:val="21"/>
          <w:lang w:bidi="ar"/>
        </w:rPr>
      </w:pPr>
      <w:r>
        <w:rPr>
          <w:rFonts w:hint="eastAsia" w:hAnsi="Times New Roman" w:eastAsia="宋体" w:cs="Times New Roman"/>
          <w:b/>
          <w:bCs/>
          <w:kern w:val="0"/>
          <w:szCs w:val="21"/>
          <w:lang w:bidi="ar"/>
        </w:rPr>
        <w:t>关键绩效参数</w:t>
      </w:r>
      <w:r>
        <w:rPr>
          <w:rFonts w:hint="eastAsia" w:ascii="宋体" w:hAnsi="宋体" w:eastAsia="宋体" w:cs="宋体"/>
          <w:kern w:val="0"/>
          <w:szCs w:val="21"/>
          <w:lang w:bidi="ar"/>
        </w:rPr>
        <w:t xml:space="preserve"> </w:t>
      </w:r>
      <w:r>
        <w:rPr>
          <w:rFonts w:hint="eastAsia" w:hAnsi="Times New Roman" w:eastAsia="宋体" w:cs="Times New Roman"/>
          <w:b/>
          <w:bCs/>
          <w:kern w:val="0"/>
          <w:szCs w:val="21"/>
          <w:lang w:bidi="ar"/>
        </w:rPr>
        <w:t>key performance indicator</w:t>
      </w:r>
    </w:p>
    <w:p w14:paraId="469F7058">
      <w:pPr>
        <w:pStyle w:val="12"/>
        <w:ind w:left="420" w:leftChars="200" w:firstLine="0" w:firstLineChars="0"/>
        <w:jc w:val="left"/>
        <w:rPr>
          <w:rFonts w:ascii="宋体" w:hAnsi="宋体" w:eastAsia="宋体" w:cs="宋体"/>
          <w:kern w:val="0"/>
          <w:szCs w:val="21"/>
          <w:lang w:bidi="ar"/>
        </w:rPr>
      </w:pPr>
      <w:r>
        <w:rPr>
          <w:rFonts w:hint="eastAsia" w:ascii="宋体" w:hAnsi="宋体" w:eastAsia="宋体" w:cs="宋体"/>
          <w:kern w:val="0"/>
          <w:szCs w:val="21"/>
          <w:lang w:bidi="ar"/>
        </w:rPr>
        <w:t>被组织认为是重要的且突出并关注某些环境因素的绩效参数。</w:t>
      </w:r>
    </w:p>
    <w:p w14:paraId="3C3B5B1C">
      <w:pPr>
        <w:pStyle w:val="12"/>
        <w:ind w:left="420" w:leftChars="200" w:firstLine="0" w:firstLineChars="0"/>
        <w:jc w:val="left"/>
        <w:rPr>
          <w:rFonts w:ascii="宋体" w:hAnsi="宋体" w:eastAsia="宋体" w:cs="宋体"/>
          <w:kern w:val="0"/>
          <w:szCs w:val="21"/>
          <w:lang w:bidi="ar"/>
        </w:rPr>
      </w:pPr>
      <w:r>
        <w:rPr>
          <w:rFonts w:hint="eastAsia" w:hAnsi="Times New Roman" w:eastAsia="宋体" w:cs="Times New Roman"/>
          <w:b/>
          <w:bCs/>
          <w:kern w:val="0"/>
          <w:szCs w:val="21"/>
          <w:lang w:bidi="ar"/>
        </w:rPr>
        <w:t>管理绩效参数</w:t>
      </w:r>
      <w:r>
        <w:rPr>
          <w:rFonts w:hint="eastAsia" w:ascii="宋体" w:hAnsi="宋体" w:eastAsia="宋体" w:cs="宋体"/>
          <w:kern w:val="0"/>
          <w:szCs w:val="21"/>
          <w:lang w:bidi="ar"/>
        </w:rPr>
        <w:t xml:space="preserve"> </w:t>
      </w:r>
      <w:r>
        <w:rPr>
          <w:rFonts w:hint="eastAsia" w:hAnsi="Times New Roman" w:eastAsia="宋体" w:cs="Times New Roman"/>
          <w:b/>
          <w:bCs/>
          <w:kern w:val="0"/>
          <w:szCs w:val="21"/>
          <w:lang w:bidi="ar"/>
        </w:rPr>
        <w:t>management performance indicator</w:t>
      </w:r>
    </w:p>
    <w:p w14:paraId="4A66F665">
      <w:pPr>
        <w:pStyle w:val="12"/>
        <w:jc w:val="left"/>
        <w:rPr>
          <w:rFonts w:ascii="宋体" w:hAnsi="宋体" w:eastAsia="宋体" w:cs="宋体"/>
          <w:kern w:val="0"/>
          <w:szCs w:val="21"/>
          <w:lang w:bidi="ar"/>
        </w:rPr>
      </w:pPr>
      <w:r>
        <w:rPr>
          <w:rFonts w:hint="eastAsia" w:ascii="宋体" w:hAnsi="宋体" w:eastAsia="宋体" w:cs="宋体"/>
          <w:kern w:val="0"/>
          <w:szCs w:val="21"/>
          <w:lang w:bidi="ar"/>
        </w:rPr>
        <w:t>提供关于影响组织环境绩效的管理活动信息的环境绩效参数。</w:t>
      </w:r>
    </w:p>
    <w:p w14:paraId="47247558">
      <w:pPr>
        <w:pStyle w:val="12"/>
        <w:ind w:left="420" w:leftChars="200" w:firstLine="0" w:firstLineChars="0"/>
        <w:jc w:val="left"/>
        <w:rPr>
          <w:rFonts w:hAnsi="Times New Roman" w:eastAsia="宋体" w:cs="Times New Roman"/>
          <w:b/>
          <w:bCs/>
          <w:kern w:val="0"/>
          <w:szCs w:val="21"/>
          <w:lang w:bidi="ar"/>
        </w:rPr>
      </w:pPr>
      <w:r>
        <w:rPr>
          <w:rFonts w:hint="eastAsia" w:hAnsi="Times New Roman" w:eastAsia="宋体" w:cs="Times New Roman"/>
          <w:b/>
          <w:bCs/>
          <w:kern w:val="0"/>
          <w:szCs w:val="21"/>
          <w:lang w:bidi="ar"/>
        </w:rPr>
        <w:t>运行绩效参数 operational performance indicator</w:t>
      </w:r>
    </w:p>
    <w:p w14:paraId="4089E5C2">
      <w:pPr>
        <w:pStyle w:val="12"/>
        <w:jc w:val="left"/>
        <w:rPr>
          <w:rFonts w:ascii="宋体" w:hAnsi="宋体" w:eastAsia="宋体" w:cs="宋体"/>
          <w:kern w:val="0"/>
          <w:szCs w:val="21"/>
          <w:lang w:bidi="ar"/>
        </w:rPr>
      </w:pPr>
      <w:r>
        <w:rPr>
          <w:rFonts w:hint="eastAsia" w:ascii="宋体" w:hAnsi="宋体" w:eastAsia="宋体" w:cs="宋体"/>
          <w:kern w:val="0"/>
          <w:szCs w:val="21"/>
          <w:lang w:bidi="ar"/>
        </w:rPr>
        <w:t>提供关于组织运行过程环境绩效信息的环境绩效参数。</w:t>
      </w:r>
    </w:p>
    <w:p w14:paraId="0FA233AF">
      <w:pPr>
        <w:pStyle w:val="12"/>
        <w:ind w:firstLine="422"/>
        <w:jc w:val="left"/>
        <w:rPr>
          <w:rFonts w:ascii="宋体" w:hAnsi="宋体" w:eastAsia="宋体" w:cs="宋体"/>
          <w:b/>
          <w:bCs/>
          <w:kern w:val="0"/>
          <w:szCs w:val="21"/>
          <w:lang w:bidi="ar"/>
        </w:rPr>
      </w:pPr>
      <w:r>
        <w:rPr>
          <w:rFonts w:hint="eastAsia" w:ascii="宋体" w:hAnsi="宋体" w:eastAsia="宋体" w:cs="宋体"/>
          <w:b/>
          <w:bCs/>
          <w:kern w:val="0"/>
          <w:szCs w:val="21"/>
          <w:lang w:bidi="ar"/>
        </w:rPr>
        <w:t>3核心原则</w:t>
      </w:r>
    </w:p>
    <w:p w14:paraId="68DE006F">
      <w:pPr>
        <w:pStyle w:val="12"/>
        <w:ind w:left="420" w:leftChars="200" w:firstLine="0" w:firstLineChars="0"/>
        <w:jc w:val="left"/>
        <w:rPr>
          <w:rFonts w:ascii="宋体" w:hAnsi="宋体" w:eastAsia="宋体" w:cs="宋体"/>
          <w:kern w:val="0"/>
          <w:szCs w:val="21"/>
          <w:lang w:bidi="ar"/>
        </w:rPr>
      </w:pPr>
      <w:r>
        <w:rPr>
          <w:rFonts w:ascii="宋体" w:hAnsi="宋体" w:eastAsia="宋体" w:cs="宋体"/>
          <w:kern w:val="0"/>
          <w:szCs w:val="21"/>
          <w:lang w:bidi="ar"/>
        </w:rPr>
        <w:t>环境效益评估应遵循以下原则：</w:t>
      </w:r>
    </w:p>
    <w:p w14:paraId="352C6379">
      <w:pPr>
        <w:pStyle w:val="12"/>
        <w:ind w:left="420" w:leftChars="200" w:firstLine="0" w:firstLineChars="0"/>
        <w:jc w:val="left"/>
        <w:rPr>
          <w:rFonts w:ascii="宋体" w:hAnsi="宋体" w:eastAsia="宋体" w:cs="宋体"/>
          <w:kern w:val="0"/>
          <w:szCs w:val="21"/>
          <w:lang w:bidi="ar"/>
        </w:rPr>
      </w:pPr>
      <w:r>
        <w:rPr>
          <w:rFonts w:ascii="宋体" w:hAnsi="宋体" w:eastAsia="宋体" w:cs="宋体"/>
          <w:b/>
          <w:bCs/>
          <w:kern w:val="0"/>
          <w:szCs w:val="21"/>
          <w:lang w:bidi="ar"/>
        </w:rPr>
        <w:t>基准线比较原则：</w:t>
      </w:r>
      <w:r>
        <w:rPr>
          <w:rFonts w:ascii="宋体" w:hAnsi="宋体" w:eastAsia="宋体" w:cs="宋体"/>
          <w:kern w:val="0"/>
          <w:szCs w:val="21"/>
          <w:lang w:bidi="ar"/>
        </w:rPr>
        <w:t>效益必须通过与其所替代的基准产品（如天然石材、陶瓷砖、普通玻璃等）进行对比来体现。</w:t>
      </w:r>
    </w:p>
    <w:p w14:paraId="1262B607">
      <w:pPr>
        <w:pStyle w:val="12"/>
        <w:ind w:left="420" w:leftChars="200" w:firstLine="0" w:firstLineChars="0"/>
        <w:jc w:val="left"/>
        <w:rPr>
          <w:rFonts w:ascii="宋体" w:hAnsi="宋体" w:eastAsia="宋体" w:cs="宋体"/>
          <w:kern w:val="0"/>
          <w:szCs w:val="21"/>
          <w:lang w:bidi="ar"/>
        </w:rPr>
      </w:pPr>
      <w:r>
        <w:rPr>
          <w:rFonts w:ascii="宋体" w:hAnsi="宋体" w:eastAsia="宋体" w:cs="宋体"/>
          <w:b/>
          <w:bCs/>
          <w:kern w:val="0"/>
          <w:szCs w:val="21"/>
          <w:lang w:bidi="ar"/>
        </w:rPr>
        <w:t>生命周期视角：</w:t>
      </w:r>
      <w:r>
        <w:rPr>
          <w:rFonts w:ascii="宋体" w:hAnsi="宋体" w:eastAsia="宋体" w:cs="宋体"/>
          <w:kern w:val="0"/>
          <w:szCs w:val="21"/>
          <w:lang w:bidi="ar"/>
        </w:rPr>
        <w:t>效益评估应基于生命周期评价方法，考虑从原材料获取到产品废弃处置的全过程。</w:t>
      </w:r>
    </w:p>
    <w:p w14:paraId="1627FA95">
      <w:pPr>
        <w:pStyle w:val="12"/>
        <w:ind w:left="420" w:leftChars="200" w:firstLine="0" w:firstLineChars="0"/>
        <w:jc w:val="left"/>
        <w:rPr>
          <w:rFonts w:ascii="宋体" w:hAnsi="宋体" w:eastAsia="宋体" w:cs="宋体"/>
          <w:kern w:val="0"/>
          <w:szCs w:val="21"/>
          <w:lang w:bidi="ar"/>
        </w:rPr>
      </w:pPr>
      <w:r>
        <w:rPr>
          <w:rFonts w:ascii="宋体" w:hAnsi="宋体" w:eastAsia="宋体" w:cs="宋体"/>
          <w:b/>
          <w:bCs/>
          <w:kern w:val="0"/>
          <w:szCs w:val="21"/>
          <w:lang w:bidi="ar"/>
        </w:rPr>
        <w:t>重点突出原则：</w:t>
      </w:r>
      <w:r>
        <w:rPr>
          <w:rFonts w:ascii="宋体" w:hAnsi="宋体" w:eastAsia="宋体" w:cs="宋体"/>
          <w:kern w:val="0"/>
          <w:szCs w:val="21"/>
          <w:lang w:bidi="ar"/>
        </w:rPr>
        <w:t>优先评估对煤矸石微晶玻璃最具实质性的环境效益类别，如资源消耗、废弃物减排和潜在的水体/土壤污染风险降低。</w:t>
      </w:r>
    </w:p>
    <w:p w14:paraId="26E881F7">
      <w:pPr>
        <w:pStyle w:val="12"/>
        <w:ind w:left="420" w:leftChars="200" w:firstLine="0" w:firstLineChars="0"/>
        <w:jc w:val="left"/>
        <w:rPr>
          <w:rFonts w:ascii="宋体" w:hAnsi="宋体" w:eastAsia="宋体" w:cs="宋体"/>
          <w:kern w:val="0"/>
          <w:szCs w:val="21"/>
          <w:lang w:bidi="ar"/>
        </w:rPr>
      </w:pPr>
      <w:r>
        <w:rPr>
          <w:rFonts w:ascii="宋体" w:hAnsi="宋体" w:eastAsia="宋体" w:cs="宋体"/>
          <w:b/>
          <w:bCs/>
          <w:kern w:val="0"/>
          <w:szCs w:val="21"/>
          <w:lang w:bidi="ar"/>
        </w:rPr>
        <w:t>数据一致性：</w:t>
      </w:r>
      <w:r>
        <w:rPr>
          <w:rFonts w:ascii="宋体" w:hAnsi="宋体" w:eastAsia="宋体" w:cs="宋体"/>
          <w:kern w:val="0"/>
          <w:szCs w:val="21"/>
          <w:lang w:bidi="ar"/>
        </w:rPr>
        <w:t>评估应尽可能使用与碳足迹量化相同的数据源和系统边界，以保证一致性。</w:t>
      </w:r>
    </w:p>
    <w:p w14:paraId="3DC0B397">
      <w:pPr>
        <w:pStyle w:val="12"/>
        <w:ind w:firstLine="422"/>
        <w:jc w:val="left"/>
        <w:rPr>
          <w:rFonts w:ascii="宋体" w:hAnsi="宋体" w:eastAsia="宋体" w:cs="宋体"/>
          <w:b/>
          <w:bCs/>
          <w:kern w:val="0"/>
          <w:szCs w:val="21"/>
          <w:lang w:bidi="ar"/>
        </w:rPr>
      </w:pPr>
      <w:r>
        <w:rPr>
          <w:rFonts w:hint="eastAsia" w:ascii="宋体" w:hAnsi="宋体" w:eastAsia="宋体" w:cs="宋体"/>
          <w:b/>
          <w:bCs/>
          <w:kern w:val="0"/>
          <w:szCs w:val="21"/>
          <w:lang w:bidi="ar"/>
        </w:rPr>
        <w:t>4评估方法与内容</w:t>
      </w:r>
    </w:p>
    <w:p w14:paraId="3B552462">
      <w:pPr>
        <w:pStyle w:val="12"/>
        <w:ind w:left="420" w:leftChars="200" w:firstLine="0" w:firstLineChars="0"/>
        <w:jc w:val="left"/>
        <w:rPr>
          <w:rFonts w:ascii="宋体" w:hAnsi="宋体" w:eastAsia="宋体" w:cs="宋体"/>
          <w:kern w:val="0"/>
          <w:szCs w:val="21"/>
          <w:lang w:bidi="ar"/>
        </w:rPr>
      </w:pPr>
      <w:r>
        <w:rPr>
          <w:rFonts w:ascii="宋体" w:hAnsi="宋体" w:eastAsia="宋体" w:cs="宋体"/>
          <w:kern w:val="0"/>
          <w:szCs w:val="21"/>
          <w:lang w:bidi="ar"/>
        </w:rPr>
        <w:t>环境效益评估应围绕以下核心方面展开，采用“情景对比法”进行量化：</w:t>
      </w:r>
    </w:p>
    <w:p w14:paraId="5F8114FA">
      <w:pPr>
        <w:pStyle w:val="12"/>
        <w:ind w:firstLine="422"/>
        <w:jc w:val="left"/>
        <w:rPr>
          <w:rFonts w:ascii="宋体" w:hAnsi="宋体" w:eastAsia="宋体" w:cs="宋体"/>
          <w:kern w:val="0"/>
          <w:szCs w:val="21"/>
          <w:lang w:bidi="ar"/>
        </w:rPr>
      </w:pPr>
      <w:r>
        <w:rPr>
          <w:rFonts w:hint="eastAsia" w:ascii="宋体" w:hAnsi="宋体" w:eastAsia="宋体" w:cs="宋体"/>
          <w:b/>
          <w:bCs/>
          <w:kern w:val="0"/>
          <w:szCs w:val="21"/>
          <w:lang w:bidi="ar"/>
        </w:rPr>
        <w:t>4.1 资源环境效益</w:t>
      </w:r>
    </w:p>
    <w:p w14:paraId="3512FDC4">
      <w:pPr>
        <w:pStyle w:val="12"/>
        <w:ind w:left="420" w:leftChars="200" w:firstLine="0" w:firstLineChars="0"/>
        <w:jc w:val="left"/>
        <w:rPr>
          <w:rFonts w:ascii="宋体" w:hAnsi="宋体" w:eastAsia="宋体" w:cs="宋体"/>
          <w:b/>
          <w:bCs/>
          <w:kern w:val="0"/>
          <w:szCs w:val="21"/>
          <w:lang w:bidi="ar"/>
        </w:rPr>
      </w:pPr>
      <w:r>
        <w:rPr>
          <w:rFonts w:ascii="宋体" w:hAnsi="宋体" w:eastAsia="宋体" w:cs="宋体"/>
          <w:b/>
          <w:bCs/>
          <w:kern w:val="0"/>
          <w:szCs w:val="21"/>
          <w:lang w:bidi="ar"/>
        </w:rPr>
        <w:t>固废资源化效益：</w:t>
      </w:r>
    </w:p>
    <w:p w14:paraId="7C6A6092">
      <w:pPr>
        <w:pStyle w:val="12"/>
        <w:ind w:left="420" w:leftChars="200" w:firstLine="0" w:firstLineChars="0"/>
        <w:jc w:val="left"/>
        <w:rPr>
          <w:rFonts w:ascii="宋体" w:hAnsi="宋体" w:eastAsia="宋体" w:cs="宋体"/>
          <w:kern w:val="0"/>
          <w:szCs w:val="21"/>
          <w:lang w:bidi="ar"/>
        </w:rPr>
      </w:pPr>
      <w:r>
        <w:rPr>
          <w:rFonts w:ascii="宋体" w:hAnsi="宋体" w:eastAsia="宋体" w:cs="宋体"/>
          <w:kern w:val="0"/>
          <w:szCs w:val="21"/>
          <w:lang w:bidi="ar"/>
        </w:rPr>
        <w:t>量化指标：单位产品（如1吨微晶玻璃）所消耗的煤矸石等固体废弃物的质量。</w:t>
      </w:r>
    </w:p>
    <w:p w14:paraId="1C78B754">
      <w:pPr>
        <w:pStyle w:val="12"/>
        <w:ind w:left="420" w:leftChars="200" w:firstLine="0" w:firstLineChars="0"/>
        <w:jc w:val="left"/>
        <w:rPr>
          <w:rFonts w:ascii="宋体" w:hAnsi="宋体" w:eastAsia="宋体" w:cs="宋体"/>
          <w:kern w:val="0"/>
          <w:szCs w:val="21"/>
          <w:lang w:bidi="ar"/>
        </w:rPr>
      </w:pPr>
      <w:r>
        <w:rPr>
          <w:rFonts w:ascii="宋体" w:hAnsi="宋体" w:eastAsia="宋体" w:cs="宋体"/>
          <w:kern w:val="0"/>
          <w:szCs w:val="21"/>
          <w:lang w:bidi="ar"/>
        </w:rPr>
        <w:t>效益描述：明确避免了等量煤矸石在自然堆存状态下所占用的土地资源，以及潜在的扬尘、淋溶污染风险。</w:t>
      </w:r>
    </w:p>
    <w:p w14:paraId="34F11D96">
      <w:pPr>
        <w:pStyle w:val="12"/>
        <w:ind w:left="420" w:leftChars="200" w:firstLine="0" w:firstLineChars="0"/>
        <w:jc w:val="left"/>
        <w:rPr>
          <w:rFonts w:ascii="宋体" w:hAnsi="宋体" w:eastAsia="宋体" w:cs="宋体"/>
          <w:kern w:val="0"/>
          <w:szCs w:val="21"/>
          <w:lang w:bidi="ar"/>
        </w:rPr>
      </w:pPr>
      <w:r>
        <w:rPr>
          <w:rFonts w:ascii="宋体" w:hAnsi="宋体" w:eastAsia="宋体" w:cs="宋体"/>
          <w:kern w:val="0"/>
          <w:szCs w:val="21"/>
          <w:lang w:bidi="ar"/>
        </w:rPr>
        <w:t>建议表达：“生产1吨煤矸石微晶玻璃，可消纳煤矸石约XX吨，相当于减少XX立方米的矸石山堆存。”</w:t>
      </w:r>
    </w:p>
    <w:p w14:paraId="6812FAFB">
      <w:pPr>
        <w:pStyle w:val="12"/>
        <w:ind w:left="420" w:leftChars="200" w:firstLine="0" w:firstLineChars="0"/>
        <w:jc w:val="left"/>
        <w:rPr>
          <w:rFonts w:ascii="宋体" w:hAnsi="宋体" w:eastAsia="宋体" w:cs="宋体"/>
          <w:b/>
          <w:bCs/>
          <w:kern w:val="0"/>
          <w:szCs w:val="21"/>
          <w:lang w:bidi="ar"/>
        </w:rPr>
      </w:pPr>
      <w:r>
        <w:rPr>
          <w:rFonts w:ascii="宋体" w:hAnsi="宋体" w:eastAsia="宋体" w:cs="宋体"/>
          <w:b/>
          <w:bCs/>
          <w:kern w:val="0"/>
          <w:szCs w:val="21"/>
          <w:lang w:bidi="ar"/>
        </w:rPr>
        <w:t>天然矿产资源保护效益：</w:t>
      </w:r>
    </w:p>
    <w:p w14:paraId="20E82D66">
      <w:pPr>
        <w:pStyle w:val="12"/>
        <w:ind w:left="420" w:leftChars="200" w:firstLine="0" w:firstLineChars="0"/>
        <w:jc w:val="left"/>
        <w:rPr>
          <w:rFonts w:ascii="宋体" w:hAnsi="宋体" w:eastAsia="宋体" w:cs="宋体"/>
          <w:kern w:val="0"/>
          <w:szCs w:val="21"/>
          <w:lang w:bidi="ar"/>
        </w:rPr>
      </w:pPr>
      <w:r>
        <w:rPr>
          <w:rFonts w:ascii="宋体" w:hAnsi="宋体" w:eastAsia="宋体" w:cs="宋体"/>
          <w:kern w:val="0"/>
          <w:szCs w:val="21"/>
          <w:lang w:bidi="ar"/>
        </w:rPr>
        <w:t>量化方法：对比生产同等功能的基准产品所需消耗的天然原材料（如砂岩、长石、铝矾土等）的质量。</w:t>
      </w:r>
    </w:p>
    <w:p w14:paraId="6968D22D">
      <w:pPr>
        <w:pStyle w:val="12"/>
        <w:ind w:left="420" w:leftChars="200" w:firstLine="0" w:firstLineChars="0"/>
        <w:jc w:val="left"/>
        <w:rPr>
          <w:rFonts w:ascii="宋体" w:hAnsi="宋体" w:eastAsia="宋体" w:cs="宋体"/>
          <w:kern w:val="0"/>
          <w:szCs w:val="21"/>
          <w:lang w:bidi="ar"/>
        </w:rPr>
      </w:pPr>
      <w:r>
        <w:rPr>
          <w:rFonts w:ascii="宋体" w:hAnsi="宋体" w:eastAsia="宋体" w:cs="宋体"/>
          <w:kern w:val="0"/>
          <w:szCs w:val="21"/>
          <w:lang w:bidi="ar"/>
        </w:rPr>
        <w:t>效益描述：计算因使用煤矸石而替代的天然矿产资源量。</w:t>
      </w:r>
    </w:p>
    <w:p w14:paraId="6069A28E">
      <w:pPr>
        <w:pStyle w:val="12"/>
        <w:ind w:firstLine="422"/>
        <w:jc w:val="left"/>
        <w:rPr>
          <w:rFonts w:ascii="宋体" w:hAnsi="宋体" w:eastAsia="宋体" w:cs="宋体"/>
          <w:b/>
          <w:bCs/>
          <w:kern w:val="0"/>
          <w:szCs w:val="21"/>
          <w:lang w:bidi="ar"/>
        </w:rPr>
      </w:pPr>
      <w:r>
        <w:rPr>
          <w:rFonts w:hint="eastAsia" w:ascii="宋体" w:hAnsi="宋体" w:eastAsia="宋体" w:cs="宋体"/>
          <w:b/>
          <w:bCs/>
          <w:kern w:val="0"/>
          <w:szCs w:val="21"/>
          <w:lang w:bidi="ar"/>
        </w:rPr>
        <w:t>4.2污染物减排与环境风险降低效益</w:t>
      </w:r>
    </w:p>
    <w:p w14:paraId="1F6B5CF8">
      <w:pPr>
        <w:pStyle w:val="12"/>
        <w:ind w:left="420" w:leftChars="200" w:firstLine="0" w:firstLineChars="0"/>
        <w:jc w:val="left"/>
        <w:rPr>
          <w:rFonts w:ascii="宋体" w:hAnsi="宋体" w:eastAsia="宋体" w:cs="宋体"/>
          <w:b/>
          <w:bCs/>
          <w:kern w:val="0"/>
          <w:szCs w:val="21"/>
          <w:lang w:bidi="ar"/>
        </w:rPr>
      </w:pPr>
      <w:r>
        <w:rPr>
          <w:rFonts w:ascii="宋体" w:hAnsi="宋体" w:eastAsia="宋体" w:cs="宋体"/>
          <w:b/>
          <w:bCs/>
          <w:kern w:val="0"/>
          <w:szCs w:val="21"/>
          <w:lang w:bidi="ar"/>
        </w:rPr>
        <w:t>生产阶段减排：</w:t>
      </w:r>
    </w:p>
    <w:p w14:paraId="3378035E">
      <w:pPr>
        <w:pStyle w:val="12"/>
        <w:ind w:left="420" w:leftChars="200" w:firstLine="0" w:firstLineChars="0"/>
        <w:jc w:val="left"/>
        <w:rPr>
          <w:rFonts w:ascii="宋体" w:hAnsi="宋体" w:eastAsia="宋体" w:cs="宋体"/>
          <w:kern w:val="0"/>
          <w:szCs w:val="21"/>
          <w:lang w:bidi="ar"/>
        </w:rPr>
      </w:pPr>
      <w:r>
        <w:rPr>
          <w:rFonts w:ascii="宋体" w:hAnsi="宋体" w:eastAsia="宋体" w:cs="宋体"/>
          <w:b/>
          <w:bCs/>
          <w:kern w:val="0"/>
          <w:szCs w:val="21"/>
          <w:lang w:bidi="ar"/>
        </w:rPr>
        <w:t>对比项目：</w:t>
      </w:r>
      <w:r>
        <w:rPr>
          <w:rFonts w:ascii="宋体" w:hAnsi="宋体" w:eastAsia="宋体" w:cs="宋体"/>
          <w:kern w:val="0"/>
          <w:szCs w:val="21"/>
          <w:lang w:bidi="ar"/>
        </w:rPr>
        <w:t>将煤矸石微晶玻璃的“免烧结”或“低温烧结”工艺，与所替代的基准产品（如陶瓷砖的高温烧结、天然石材的开采与切割）的生产过程进行对比。</w:t>
      </w:r>
    </w:p>
    <w:p w14:paraId="03DB759A">
      <w:pPr>
        <w:pStyle w:val="12"/>
        <w:ind w:left="420" w:leftChars="200" w:firstLine="0" w:firstLineChars="0"/>
        <w:jc w:val="left"/>
        <w:rPr>
          <w:rFonts w:ascii="宋体" w:hAnsi="宋体" w:eastAsia="宋体" w:cs="宋体"/>
          <w:kern w:val="0"/>
          <w:szCs w:val="21"/>
          <w:lang w:bidi="ar"/>
        </w:rPr>
      </w:pPr>
      <w:r>
        <w:rPr>
          <w:rFonts w:ascii="宋体" w:hAnsi="宋体" w:eastAsia="宋体" w:cs="宋体"/>
          <w:b/>
          <w:bCs/>
          <w:kern w:val="0"/>
          <w:szCs w:val="21"/>
          <w:lang w:bidi="ar"/>
        </w:rPr>
        <w:t>量化指标：</w:t>
      </w:r>
      <w:r>
        <w:rPr>
          <w:rFonts w:ascii="宋体" w:hAnsi="宋体" w:eastAsia="宋体" w:cs="宋体"/>
          <w:kern w:val="0"/>
          <w:szCs w:val="21"/>
          <w:lang w:bidi="ar"/>
        </w:rPr>
        <w:t>可包括但不限于：① 大气污染物（如SO₂, NOx, 颗粒物）的减排量；② 废水产生量的差值；③ 能耗相关的其他污染物。</w:t>
      </w:r>
    </w:p>
    <w:p w14:paraId="724D4B9E">
      <w:pPr>
        <w:pStyle w:val="12"/>
        <w:ind w:left="420" w:leftChars="200" w:firstLine="0" w:firstLineChars="0"/>
        <w:jc w:val="left"/>
        <w:rPr>
          <w:rFonts w:ascii="宋体" w:hAnsi="宋体" w:eastAsia="宋体" w:cs="宋体"/>
          <w:kern w:val="0"/>
          <w:szCs w:val="21"/>
          <w:lang w:bidi="ar"/>
        </w:rPr>
      </w:pPr>
      <w:r>
        <w:rPr>
          <w:rFonts w:ascii="宋体" w:hAnsi="宋体" w:eastAsia="宋体" w:cs="宋体"/>
          <w:b/>
          <w:bCs/>
          <w:kern w:val="0"/>
          <w:szCs w:val="21"/>
          <w:lang w:bidi="ar"/>
        </w:rPr>
        <w:t>数据来源：</w:t>
      </w:r>
      <w:r>
        <w:rPr>
          <w:rFonts w:ascii="宋体" w:hAnsi="宋体" w:eastAsia="宋体" w:cs="宋体"/>
          <w:kern w:val="0"/>
          <w:szCs w:val="21"/>
          <w:lang w:bidi="ar"/>
        </w:rPr>
        <w:t>可采用行业平均排放因子或本企业的环境监测数据。</w:t>
      </w:r>
    </w:p>
    <w:p w14:paraId="2F6E65CC">
      <w:pPr>
        <w:pStyle w:val="12"/>
        <w:ind w:left="420" w:leftChars="200" w:firstLine="0" w:firstLineChars="0"/>
        <w:jc w:val="left"/>
        <w:rPr>
          <w:rFonts w:ascii="宋体" w:hAnsi="宋体" w:eastAsia="宋体" w:cs="宋体"/>
          <w:b/>
          <w:bCs/>
          <w:kern w:val="0"/>
          <w:szCs w:val="21"/>
          <w:lang w:bidi="ar"/>
        </w:rPr>
      </w:pPr>
      <w:r>
        <w:rPr>
          <w:rFonts w:ascii="宋体" w:hAnsi="宋体" w:eastAsia="宋体" w:cs="宋体"/>
          <w:b/>
          <w:bCs/>
          <w:kern w:val="0"/>
          <w:szCs w:val="21"/>
          <w:lang w:bidi="ar"/>
        </w:rPr>
        <w:t>生命周期末端风险降低：</w:t>
      </w:r>
    </w:p>
    <w:p w14:paraId="5B6A00C8">
      <w:pPr>
        <w:pStyle w:val="12"/>
        <w:ind w:left="420" w:leftChars="200" w:firstLine="0" w:firstLineChars="0"/>
        <w:jc w:val="left"/>
        <w:rPr>
          <w:rFonts w:ascii="宋体" w:hAnsi="宋体" w:eastAsia="宋体" w:cs="宋体"/>
          <w:kern w:val="0"/>
          <w:szCs w:val="21"/>
          <w:lang w:bidi="ar"/>
        </w:rPr>
      </w:pPr>
      <w:r>
        <w:rPr>
          <w:rFonts w:ascii="宋体" w:hAnsi="宋体" w:eastAsia="宋体" w:cs="宋体"/>
          <w:b/>
          <w:bCs/>
          <w:kern w:val="0"/>
          <w:szCs w:val="21"/>
          <w:lang w:bidi="ar"/>
        </w:rPr>
        <w:t>分析内容：</w:t>
      </w:r>
      <w:r>
        <w:rPr>
          <w:rFonts w:ascii="宋体" w:hAnsi="宋体" w:eastAsia="宋体" w:cs="宋体"/>
          <w:kern w:val="0"/>
          <w:szCs w:val="21"/>
          <w:lang w:bidi="ar"/>
        </w:rPr>
        <w:t>分析煤矸石在微晶玻璃中被高温熔融固化后，其中重金属等有害物质的浸出风险，与原始煤矸石自然堆存淋溶风险的对比。</w:t>
      </w:r>
    </w:p>
    <w:p w14:paraId="2E72FE4F">
      <w:pPr>
        <w:pStyle w:val="12"/>
        <w:ind w:left="420" w:leftChars="200" w:firstLine="0" w:firstLineChars="0"/>
        <w:jc w:val="left"/>
        <w:rPr>
          <w:rFonts w:ascii="宋体" w:hAnsi="宋体" w:eastAsia="宋体" w:cs="宋体"/>
          <w:kern w:val="0"/>
          <w:szCs w:val="21"/>
          <w:lang w:bidi="ar"/>
        </w:rPr>
      </w:pPr>
      <w:r>
        <w:rPr>
          <w:rFonts w:ascii="宋体" w:hAnsi="宋体" w:eastAsia="宋体" w:cs="宋体"/>
          <w:b/>
          <w:bCs/>
          <w:kern w:val="0"/>
          <w:szCs w:val="21"/>
          <w:lang w:bidi="ar"/>
        </w:rPr>
        <w:t>建议表达：</w:t>
      </w:r>
      <w:r>
        <w:rPr>
          <w:rFonts w:ascii="宋体" w:hAnsi="宋体" w:eastAsia="宋体" w:cs="宋体"/>
          <w:kern w:val="0"/>
          <w:szCs w:val="21"/>
          <w:lang w:bidi="ar"/>
        </w:rPr>
        <w:t>可定性或引用相关研究数据说明产品化固化后的环境安全性显著提高。</w:t>
      </w:r>
    </w:p>
    <w:p w14:paraId="185EB5A7">
      <w:pPr>
        <w:pStyle w:val="12"/>
        <w:ind w:firstLine="422"/>
        <w:jc w:val="left"/>
      </w:pPr>
      <w:r>
        <w:rPr>
          <w:rFonts w:hint="eastAsia" w:ascii="宋体" w:hAnsi="宋体" w:eastAsia="宋体" w:cs="宋体"/>
          <w:b/>
          <w:bCs/>
          <w:kern w:val="0"/>
          <w:szCs w:val="21"/>
          <w:lang w:bidi="ar"/>
        </w:rPr>
        <w:t>4.3 产品使用阶段延伸效益</w:t>
      </w:r>
    </w:p>
    <w:p w14:paraId="041C959C">
      <w:pPr>
        <w:pStyle w:val="12"/>
        <w:ind w:left="420" w:leftChars="200" w:firstLine="0" w:firstLineChars="0"/>
        <w:jc w:val="left"/>
        <w:rPr>
          <w:rFonts w:ascii="宋体" w:hAnsi="宋体" w:eastAsia="宋体" w:cs="宋体"/>
          <w:b/>
          <w:bCs/>
          <w:kern w:val="0"/>
          <w:szCs w:val="21"/>
          <w:lang w:bidi="ar"/>
        </w:rPr>
      </w:pPr>
      <w:r>
        <w:rPr>
          <w:rFonts w:ascii="宋体" w:hAnsi="宋体" w:eastAsia="宋体" w:cs="宋体"/>
          <w:b/>
          <w:bCs/>
          <w:kern w:val="0"/>
          <w:szCs w:val="21"/>
          <w:lang w:bidi="ar"/>
        </w:rPr>
        <w:t>长寿命效益：</w:t>
      </w:r>
    </w:p>
    <w:p w14:paraId="4BB13338">
      <w:pPr>
        <w:pStyle w:val="12"/>
        <w:ind w:left="420" w:leftChars="200" w:firstLine="0" w:firstLineChars="0"/>
        <w:jc w:val="left"/>
        <w:rPr>
          <w:rFonts w:ascii="宋体" w:hAnsi="宋体" w:eastAsia="宋体" w:cs="宋体"/>
          <w:kern w:val="0"/>
          <w:szCs w:val="21"/>
          <w:lang w:bidi="ar"/>
        </w:rPr>
      </w:pPr>
      <w:r>
        <w:rPr>
          <w:rFonts w:ascii="宋体" w:hAnsi="宋体" w:eastAsia="宋体" w:cs="宋体"/>
          <w:b/>
          <w:bCs/>
          <w:kern w:val="0"/>
          <w:szCs w:val="21"/>
          <w:lang w:bidi="ar"/>
        </w:rPr>
        <w:t>量化方法：</w:t>
      </w:r>
      <w:r>
        <w:rPr>
          <w:rFonts w:ascii="宋体" w:hAnsi="宋体" w:eastAsia="宋体" w:cs="宋体"/>
          <w:kern w:val="0"/>
          <w:szCs w:val="21"/>
          <w:lang w:bidi="ar"/>
        </w:rPr>
        <w:t>如本标准正文所述，若经证实煤矸石微晶玻璃的使用寿命显著长于基准产品，可将基准产品在评估期内因更换产生的额外环境影响（原材料、生产、运输、废弃物）作为本产品的效益。</w:t>
      </w:r>
    </w:p>
    <w:p w14:paraId="7F92975F">
      <w:pPr>
        <w:pStyle w:val="12"/>
        <w:ind w:left="420" w:leftChars="200" w:firstLine="0" w:firstLineChars="0"/>
        <w:jc w:val="left"/>
        <w:rPr>
          <w:rFonts w:ascii="宋体" w:hAnsi="宋体" w:eastAsia="宋体" w:cs="宋体"/>
          <w:kern w:val="0"/>
          <w:szCs w:val="21"/>
          <w:lang w:bidi="ar"/>
        </w:rPr>
      </w:pPr>
      <w:r>
        <w:rPr>
          <w:rFonts w:ascii="宋体" w:hAnsi="宋体" w:eastAsia="宋体" w:cs="宋体"/>
          <w:kern w:val="0"/>
          <w:szCs w:val="21"/>
          <w:lang w:bidi="ar"/>
        </w:rPr>
        <w:t>示例：“假设微晶玻璃使用寿命为50年，其替代的瓷砖需更换1次。本评估将避免的这1次更换所对应的全生命周期环境影响计入效益。”</w:t>
      </w:r>
    </w:p>
    <w:p w14:paraId="2491709C">
      <w:pPr>
        <w:pStyle w:val="12"/>
        <w:ind w:left="420" w:leftChars="200" w:firstLine="0" w:firstLineChars="0"/>
        <w:jc w:val="left"/>
        <w:rPr>
          <w:rFonts w:ascii="宋体" w:hAnsi="宋体" w:eastAsia="宋体" w:cs="宋体"/>
          <w:b/>
          <w:bCs/>
          <w:kern w:val="0"/>
          <w:szCs w:val="21"/>
          <w:lang w:bidi="ar"/>
        </w:rPr>
      </w:pPr>
      <w:r>
        <w:rPr>
          <w:rFonts w:ascii="宋体" w:hAnsi="宋体" w:eastAsia="宋体" w:cs="宋体"/>
          <w:b/>
          <w:bCs/>
          <w:kern w:val="0"/>
          <w:szCs w:val="21"/>
          <w:lang w:bidi="ar"/>
        </w:rPr>
        <w:t>性能提升带来的间接效益：</w:t>
      </w:r>
    </w:p>
    <w:p w14:paraId="599FCA9D">
      <w:pPr>
        <w:pStyle w:val="12"/>
        <w:ind w:left="420" w:leftChars="200" w:firstLine="0" w:firstLineChars="0"/>
        <w:jc w:val="left"/>
        <w:rPr>
          <w:rFonts w:ascii="宋体" w:hAnsi="宋体" w:eastAsia="宋体" w:cs="宋体"/>
          <w:kern w:val="0"/>
          <w:szCs w:val="21"/>
          <w:lang w:bidi="ar"/>
        </w:rPr>
      </w:pPr>
      <w:r>
        <w:rPr>
          <w:rFonts w:ascii="宋体" w:hAnsi="宋体" w:eastAsia="宋体" w:cs="宋体"/>
          <w:kern w:val="0"/>
          <w:szCs w:val="21"/>
          <w:lang w:bidi="ar"/>
        </w:rPr>
        <w:t>示例：若产品具有更高的强度、耐磨性或耐腐蚀性，可能导致在应用过程中维护需求减少（如清洁剂、用水量、能耗降低），这部分减排量可纳入评估。</w:t>
      </w:r>
    </w:p>
    <w:p w14:paraId="68807AB3">
      <w:pPr>
        <w:pStyle w:val="12"/>
        <w:ind w:firstLine="422"/>
        <w:jc w:val="left"/>
        <w:rPr>
          <w:rFonts w:ascii="宋体" w:hAnsi="宋体" w:eastAsia="宋体" w:cs="宋体"/>
          <w:b/>
          <w:bCs/>
          <w:kern w:val="0"/>
          <w:szCs w:val="21"/>
          <w:lang w:bidi="ar"/>
        </w:rPr>
      </w:pPr>
      <w:r>
        <w:rPr>
          <w:rFonts w:hint="eastAsia" w:ascii="宋体" w:hAnsi="宋体" w:eastAsia="宋体" w:cs="宋体"/>
          <w:b/>
          <w:bCs/>
          <w:kern w:val="0"/>
          <w:szCs w:val="21"/>
          <w:lang w:bidi="ar"/>
        </w:rPr>
        <w:t>4.4评估结果报告</w:t>
      </w:r>
    </w:p>
    <w:p w14:paraId="4224250C">
      <w:pPr>
        <w:pStyle w:val="12"/>
        <w:ind w:firstLine="422"/>
        <w:jc w:val="center"/>
        <w:rPr>
          <w:rFonts w:ascii="宋体" w:hAnsi="宋体" w:eastAsia="宋体" w:cs="宋体"/>
          <w:b/>
          <w:bCs/>
          <w:kern w:val="0"/>
          <w:szCs w:val="21"/>
          <w:lang w:bidi="ar"/>
        </w:rPr>
      </w:pPr>
      <w:r>
        <w:rPr>
          <w:rFonts w:hint="eastAsia" w:ascii="宋体" w:hAnsi="宋体" w:eastAsia="宋体" w:cs="宋体"/>
          <w:b/>
          <w:bCs/>
          <w:kern w:val="0"/>
          <w:szCs w:val="21"/>
          <w:lang w:bidi="ar"/>
        </w:rPr>
        <w:t>煤矸石微晶玻璃（相对于[基准产品名称]）环境效益评估表</w:t>
      </w:r>
    </w:p>
    <w:tbl>
      <w:tblPr>
        <w:tblStyle w:val="62"/>
        <w:tblW w:w="8306" w:type="dxa"/>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3"/>
        <w:gridCol w:w="1601"/>
        <w:gridCol w:w="1557"/>
        <w:gridCol w:w="1318"/>
        <w:gridCol w:w="2167"/>
      </w:tblGrid>
      <w:tr w14:paraId="6E2CA2B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tcBorders>
              <w:top w:val="nil"/>
              <w:left w:val="single" w:color="000000" w:sz="4" w:space="0"/>
              <w:bottom w:val="single" w:color="000000" w:sz="4" w:space="0"/>
              <w:right w:val="nil"/>
              <w:insideV w:val="nil"/>
              <w:tl2br w:val="nil"/>
              <w:tr2bl w:val="nil"/>
            </w:tcBorders>
            <w:vAlign w:val="center"/>
          </w:tcPr>
          <w:p w14:paraId="194880F3">
            <w:pPr>
              <w:jc w:val="center"/>
              <w:rPr>
                <w:rFonts w:ascii="Times New Roman" w:hAnsi="Times New Roman" w:eastAsia="黑体" w:cs="Times New Roman"/>
                <w:b/>
                <w:bCs/>
                <w:color w:val="000000"/>
                <w:szCs w:val="21"/>
              </w:rPr>
            </w:pPr>
            <w:r>
              <w:rPr>
                <w:rFonts w:hint="eastAsia" w:ascii="Times New Roman" w:hAnsi="Times New Roman" w:eastAsia="宋体" w:cs="Times New Roman"/>
                <w:b/>
                <w:bCs/>
                <w:color w:val="000000"/>
                <w:szCs w:val="21"/>
              </w:rPr>
              <w:t>指标</w:t>
            </w:r>
            <w:r>
              <w:rPr>
                <w:rFonts w:ascii="Times New Roman" w:hAnsi="Times New Roman" w:eastAsia="宋体" w:cs="Times New Roman"/>
                <w:b/>
                <w:bCs/>
                <w:color w:val="000000"/>
                <w:szCs w:val="21"/>
              </w:rPr>
              <w:t>名称</w:t>
            </w:r>
          </w:p>
        </w:tc>
        <w:tc>
          <w:tcPr>
            <w:tcW w:w="1601" w:type="dxa"/>
            <w:tcBorders>
              <w:top w:val="nil"/>
              <w:bottom w:val="single" w:color="000000" w:sz="4" w:space="0"/>
              <w:right w:val="nil"/>
              <w:insideV w:val="nil"/>
              <w:tl2br w:val="nil"/>
              <w:tr2bl w:val="nil"/>
            </w:tcBorders>
            <w:vAlign w:val="center"/>
          </w:tcPr>
          <w:p w14:paraId="59CE8F26">
            <w:pPr>
              <w:jc w:val="center"/>
              <w:rPr>
                <w:rFonts w:ascii="Times New Roman" w:hAnsi="Times New Roman" w:eastAsia="黑体" w:cs="Times New Roman"/>
                <w:b/>
                <w:bCs/>
                <w:color w:val="000000"/>
                <w:szCs w:val="21"/>
              </w:rPr>
            </w:pPr>
            <w:r>
              <w:rPr>
                <w:rFonts w:hint="eastAsia" w:ascii="Times New Roman" w:hAnsi="Times New Roman" w:eastAsia="宋体" w:cs="Times New Roman"/>
                <w:b/>
                <w:bCs/>
                <w:color w:val="000000"/>
                <w:szCs w:val="21"/>
              </w:rPr>
              <w:t>缩写（单位）</w:t>
            </w:r>
          </w:p>
        </w:tc>
        <w:tc>
          <w:tcPr>
            <w:tcW w:w="1557" w:type="dxa"/>
            <w:tcBorders>
              <w:top w:val="nil"/>
              <w:bottom w:val="single" w:color="000000" w:sz="4" w:space="0"/>
              <w:right w:val="nil"/>
              <w:insideV w:val="nil"/>
              <w:tl2br w:val="nil"/>
              <w:tr2bl w:val="nil"/>
            </w:tcBorders>
            <w:vAlign w:val="center"/>
          </w:tcPr>
          <w:p w14:paraId="197E61A9">
            <w:pPr>
              <w:jc w:val="center"/>
              <w:rPr>
                <w:rFonts w:ascii="Times New Roman" w:hAnsi="Times New Roman" w:eastAsia="宋体" w:cs="Times New Roman"/>
                <w:b/>
                <w:bCs/>
                <w:color w:val="000000"/>
                <w:szCs w:val="21"/>
              </w:rPr>
            </w:pPr>
            <w:r>
              <w:rPr>
                <w:rFonts w:hint="eastAsia" w:ascii="Times New Roman" w:hAnsi="Times New Roman" w:eastAsia="宋体" w:cs="Times New Roman"/>
                <w:b/>
                <w:bCs/>
                <w:color w:val="000000"/>
                <w:szCs w:val="21"/>
              </w:rPr>
              <w:t>LCA结果</w:t>
            </w:r>
          </w:p>
        </w:tc>
        <w:tc>
          <w:tcPr>
            <w:tcW w:w="1318" w:type="dxa"/>
            <w:tcBorders>
              <w:top w:val="nil"/>
              <w:bottom w:val="single" w:color="000000" w:sz="4" w:space="0"/>
              <w:right w:val="nil"/>
              <w:insideV w:val="nil"/>
              <w:tl2br w:val="nil"/>
              <w:tr2bl w:val="nil"/>
            </w:tcBorders>
            <w:vAlign w:val="center"/>
          </w:tcPr>
          <w:p w14:paraId="5E8C9E38">
            <w:pPr>
              <w:jc w:val="center"/>
              <w:rPr>
                <w:rFonts w:ascii="Times New Roman" w:hAnsi="Times New Roman" w:eastAsia="宋体" w:cs="Times New Roman"/>
                <w:b/>
                <w:bCs/>
                <w:color w:val="000000"/>
                <w:szCs w:val="21"/>
              </w:rPr>
            </w:pPr>
            <w:r>
              <w:rPr>
                <w:rFonts w:ascii="Times New Roman" w:hAnsi="Times New Roman" w:eastAsia="宋体" w:cs="Times New Roman"/>
                <w:b/>
                <w:bCs/>
                <w:color w:val="000000"/>
                <w:szCs w:val="21"/>
              </w:rPr>
              <w:t>结果不确定度</w:t>
            </w:r>
          </w:p>
        </w:tc>
        <w:tc>
          <w:tcPr>
            <w:tcW w:w="2167" w:type="dxa"/>
            <w:tcBorders>
              <w:top w:val="nil"/>
              <w:bottom w:val="single" w:color="000000" w:sz="4" w:space="0"/>
              <w:right w:val="nil"/>
              <w:insideV w:val="nil"/>
              <w:tl2br w:val="nil"/>
              <w:tr2bl w:val="nil"/>
            </w:tcBorders>
            <w:vAlign w:val="center"/>
          </w:tcPr>
          <w:p w14:paraId="3F8D9647">
            <w:pPr>
              <w:jc w:val="center"/>
              <w:rPr>
                <w:rFonts w:ascii="Times New Roman" w:hAnsi="Times New Roman" w:eastAsia="宋体" w:cs="Times New Roman"/>
                <w:b/>
                <w:bCs/>
                <w:color w:val="000000"/>
                <w:szCs w:val="21"/>
              </w:rPr>
            </w:pPr>
            <w:r>
              <w:rPr>
                <w:rFonts w:ascii="Times New Roman" w:hAnsi="Times New Roman" w:eastAsia="宋体" w:cs="Times New Roman"/>
                <w:b/>
                <w:bCs/>
                <w:color w:val="000000"/>
                <w:szCs w:val="21"/>
              </w:rPr>
              <w:t>结果上下限</w:t>
            </w:r>
          </w:p>
          <w:p w14:paraId="52E1846A">
            <w:pPr>
              <w:jc w:val="center"/>
              <w:rPr>
                <w:rFonts w:ascii="Times New Roman" w:hAnsi="Times New Roman" w:eastAsia="宋体" w:cs="Times New Roman"/>
                <w:b/>
                <w:bCs/>
                <w:color w:val="000000"/>
                <w:szCs w:val="21"/>
              </w:rPr>
            </w:pPr>
            <w:r>
              <w:rPr>
                <w:rFonts w:hint="eastAsia" w:ascii="Times New Roman" w:hAnsi="Times New Roman" w:eastAsia="宋体" w:cs="Times New Roman"/>
                <w:b/>
                <w:bCs/>
                <w:color w:val="000000"/>
                <w:szCs w:val="21"/>
              </w:rPr>
              <w:t>（95%置信区间）</w:t>
            </w:r>
          </w:p>
        </w:tc>
      </w:tr>
      <w:tr w14:paraId="58CAD1F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1E532F00">
            <w:pPr>
              <w:jc w:val="center"/>
              <w:rPr>
                <w:rFonts w:ascii="Times New Roman" w:hAnsi="Times New Roman" w:eastAsia="宋体" w:cs="Times New Roman"/>
                <w:b w:val="0"/>
                <w:bCs/>
                <w:color w:val="000000"/>
                <w:szCs w:val="21"/>
              </w:rPr>
            </w:pPr>
            <w:r>
              <w:rPr>
                <w:rFonts w:ascii="Times New Roman" w:hAnsi="Times New Roman" w:eastAsia="宋体" w:cs="Times New Roman"/>
                <w:b w:val="0"/>
                <w:bCs w:val="0"/>
                <w:color w:val="000000"/>
                <w:szCs w:val="21"/>
              </w:rPr>
              <w:t>气候变化</w:t>
            </w:r>
          </w:p>
        </w:tc>
        <w:tc>
          <w:tcPr>
            <w:tcW w:w="1601" w:type="dxa"/>
            <w:vAlign w:val="center"/>
          </w:tcPr>
          <w:p w14:paraId="5F1B3693">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GWP-2021(kg CO2 eq)</w:t>
            </w:r>
          </w:p>
        </w:tc>
        <w:tc>
          <w:tcPr>
            <w:tcW w:w="1557" w:type="dxa"/>
            <w:vAlign w:val="center"/>
          </w:tcPr>
          <w:p w14:paraId="1D411239">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1.917E+003</w:t>
            </w:r>
          </w:p>
        </w:tc>
        <w:tc>
          <w:tcPr>
            <w:tcW w:w="1318" w:type="dxa"/>
            <w:vAlign w:val="center"/>
          </w:tcPr>
          <w:p w14:paraId="78FEDED5">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10.95%</w:t>
            </w:r>
          </w:p>
        </w:tc>
        <w:tc>
          <w:tcPr>
            <w:tcW w:w="2167" w:type="dxa"/>
            <w:vAlign w:val="center"/>
          </w:tcPr>
          <w:p w14:paraId="52B0D199">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[1707.09,2126.91]</w:t>
            </w:r>
          </w:p>
        </w:tc>
      </w:tr>
      <w:tr w14:paraId="0EE39FE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008766B6">
            <w:pPr>
              <w:jc w:val="center"/>
              <w:rPr>
                <w:rFonts w:ascii="Times New Roman" w:hAnsi="Times New Roman" w:eastAsia="宋体" w:cs="Times New Roman"/>
                <w:b w:val="0"/>
                <w:bCs/>
                <w:color w:val="000000"/>
                <w:szCs w:val="21"/>
              </w:rPr>
            </w:pPr>
            <w:r>
              <w:rPr>
                <w:rFonts w:ascii="Times New Roman" w:hAnsi="Times New Roman" w:eastAsia="宋体" w:cs="Times New Roman"/>
                <w:b w:val="0"/>
                <w:bCs w:val="0"/>
                <w:color w:val="000000"/>
                <w:szCs w:val="21"/>
              </w:rPr>
              <w:t>一次能源消耗</w:t>
            </w:r>
          </w:p>
        </w:tc>
        <w:tc>
          <w:tcPr>
            <w:tcW w:w="1601" w:type="dxa"/>
            <w:vAlign w:val="center"/>
          </w:tcPr>
          <w:p w14:paraId="2C5FC5AD">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PED(MJ)</w:t>
            </w:r>
          </w:p>
        </w:tc>
        <w:tc>
          <w:tcPr>
            <w:tcW w:w="1557" w:type="dxa"/>
            <w:vAlign w:val="center"/>
          </w:tcPr>
          <w:p w14:paraId="51FE857B">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4.056E+004</w:t>
            </w:r>
          </w:p>
        </w:tc>
        <w:tc>
          <w:tcPr>
            <w:tcW w:w="1318" w:type="dxa"/>
            <w:vAlign w:val="center"/>
          </w:tcPr>
          <w:p w14:paraId="0F67BD10">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11.22%</w:t>
            </w:r>
          </w:p>
        </w:tc>
        <w:tc>
          <w:tcPr>
            <w:tcW w:w="2167" w:type="dxa"/>
            <w:vAlign w:val="center"/>
          </w:tcPr>
          <w:p w14:paraId="25CDD05A">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[3.60E+04,4.51E+04]</w:t>
            </w:r>
          </w:p>
        </w:tc>
      </w:tr>
      <w:tr w14:paraId="2875CC4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6CE70C3E">
            <w:pPr>
              <w:jc w:val="center"/>
              <w:rPr>
                <w:rFonts w:ascii="Times New Roman" w:hAnsi="Times New Roman" w:eastAsia="宋体" w:cs="Times New Roman"/>
                <w:b w:val="0"/>
                <w:bCs/>
                <w:color w:val="000000"/>
                <w:szCs w:val="21"/>
              </w:rPr>
            </w:pPr>
            <w:r>
              <w:rPr>
                <w:rFonts w:ascii="Times New Roman" w:hAnsi="Times New Roman" w:eastAsia="宋体" w:cs="Times New Roman"/>
                <w:b w:val="0"/>
                <w:bCs w:val="0"/>
                <w:color w:val="000000"/>
                <w:szCs w:val="21"/>
              </w:rPr>
              <w:t>非生物资源消耗潜值</w:t>
            </w:r>
          </w:p>
        </w:tc>
        <w:tc>
          <w:tcPr>
            <w:tcW w:w="1601" w:type="dxa"/>
            <w:vAlign w:val="center"/>
          </w:tcPr>
          <w:p w14:paraId="28866ED6">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ADP(kg antimony eq.)</w:t>
            </w:r>
          </w:p>
        </w:tc>
        <w:tc>
          <w:tcPr>
            <w:tcW w:w="1557" w:type="dxa"/>
            <w:vAlign w:val="center"/>
          </w:tcPr>
          <w:p w14:paraId="38FA69C2">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2.325E-002</w:t>
            </w:r>
          </w:p>
        </w:tc>
        <w:tc>
          <w:tcPr>
            <w:tcW w:w="1318" w:type="dxa"/>
            <w:vAlign w:val="center"/>
          </w:tcPr>
          <w:p w14:paraId="00CC8EC5">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23.47%</w:t>
            </w:r>
          </w:p>
        </w:tc>
        <w:tc>
          <w:tcPr>
            <w:tcW w:w="2167" w:type="dxa"/>
            <w:vAlign w:val="center"/>
          </w:tcPr>
          <w:p w14:paraId="6404EBA3">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[0.02,0.03]</w:t>
            </w:r>
          </w:p>
        </w:tc>
      </w:tr>
      <w:tr w14:paraId="502769F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70C2532C">
            <w:pPr>
              <w:jc w:val="center"/>
              <w:rPr>
                <w:rFonts w:ascii="Times New Roman" w:hAnsi="Times New Roman" w:eastAsia="宋体" w:cs="Times New Roman"/>
                <w:b w:val="0"/>
                <w:bCs/>
                <w:color w:val="000000"/>
                <w:szCs w:val="21"/>
              </w:rPr>
            </w:pPr>
            <w:r>
              <w:rPr>
                <w:rFonts w:ascii="Times New Roman" w:hAnsi="Times New Roman" w:eastAsia="宋体" w:cs="Times New Roman"/>
                <w:b w:val="0"/>
                <w:bCs w:val="0"/>
                <w:color w:val="000000"/>
                <w:szCs w:val="21"/>
              </w:rPr>
              <w:t>水资源消耗</w:t>
            </w:r>
          </w:p>
        </w:tc>
        <w:tc>
          <w:tcPr>
            <w:tcW w:w="1601" w:type="dxa"/>
            <w:vAlign w:val="center"/>
          </w:tcPr>
          <w:p w14:paraId="2753A710">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WU(kg)</w:t>
            </w:r>
          </w:p>
        </w:tc>
        <w:tc>
          <w:tcPr>
            <w:tcW w:w="1557" w:type="dxa"/>
            <w:vAlign w:val="center"/>
          </w:tcPr>
          <w:p w14:paraId="32D59A43">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5.604E+004</w:t>
            </w:r>
          </w:p>
        </w:tc>
        <w:tc>
          <w:tcPr>
            <w:tcW w:w="1318" w:type="dxa"/>
            <w:vAlign w:val="center"/>
          </w:tcPr>
          <w:p w14:paraId="242B73B4">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29.68%</w:t>
            </w:r>
          </w:p>
        </w:tc>
        <w:tc>
          <w:tcPr>
            <w:tcW w:w="2167" w:type="dxa"/>
            <w:vAlign w:val="center"/>
          </w:tcPr>
          <w:p w14:paraId="71F3F1FC">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[3.94E+04,7.27E+04]</w:t>
            </w:r>
          </w:p>
        </w:tc>
      </w:tr>
      <w:tr w14:paraId="39D1529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554467DC">
            <w:pPr>
              <w:jc w:val="center"/>
              <w:rPr>
                <w:rFonts w:ascii="Times New Roman" w:hAnsi="Times New Roman" w:eastAsia="宋体" w:cs="Times New Roman"/>
                <w:b w:val="0"/>
                <w:bCs/>
                <w:color w:val="000000"/>
                <w:szCs w:val="21"/>
              </w:rPr>
            </w:pPr>
            <w:r>
              <w:rPr>
                <w:rFonts w:ascii="Times New Roman" w:hAnsi="Times New Roman" w:eastAsia="宋体" w:cs="Times New Roman"/>
                <w:b w:val="0"/>
                <w:bCs w:val="0"/>
                <w:color w:val="000000"/>
                <w:szCs w:val="21"/>
              </w:rPr>
              <w:t>酸化</w:t>
            </w:r>
          </w:p>
        </w:tc>
        <w:tc>
          <w:tcPr>
            <w:tcW w:w="1601" w:type="dxa"/>
            <w:vAlign w:val="center"/>
          </w:tcPr>
          <w:p w14:paraId="5BB73527">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AP(kg SO2 eq)</w:t>
            </w:r>
          </w:p>
        </w:tc>
        <w:tc>
          <w:tcPr>
            <w:tcW w:w="1557" w:type="dxa"/>
            <w:vAlign w:val="center"/>
          </w:tcPr>
          <w:p w14:paraId="5BDC75D5">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1.355E+001</w:t>
            </w:r>
          </w:p>
        </w:tc>
        <w:tc>
          <w:tcPr>
            <w:tcW w:w="1318" w:type="dxa"/>
            <w:vAlign w:val="center"/>
          </w:tcPr>
          <w:p w14:paraId="147E5B80">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12.93%</w:t>
            </w:r>
          </w:p>
        </w:tc>
        <w:tc>
          <w:tcPr>
            <w:tcW w:w="2167" w:type="dxa"/>
            <w:vAlign w:val="center"/>
          </w:tcPr>
          <w:p w14:paraId="25086867">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[11.8,15.3]</w:t>
            </w:r>
          </w:p>
        </w:tc>
      </w:tr>
      <w:tr w14:paraId="2BFA771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67C48285">
            <w:pPr>
              <w:jc w:val="center"/>
              <w:rPr>
                <w:rFonts w:ascii="Times New Roman" w:hAnsi="Times New Roman" w:eastAsia="宋体" w:cs="Times New Roman"/>
                <w:b w:val="0"/>
                <w:bCs/>
                <w:color w:val="000000"/>
                <w:szCs w:val="21"/>
              </w:rPr>
            </w:pPr>
            <w:r>
              <w:rPr>
                <w:rFonts w:ascii="Times New Roman" w:hAnsi="Times New Roman" w:eastAsia="宋体" w:cs="Times New Roman"/>
                <w:b w:val="0"/>
                <w:bCs w:val="0"/>
                <w:color w:val="000000"/>
                <w:szCs w:val="21"/>
              </w:rPr>
              <w:t>富营养化潜值</w:t>
            </w:r>
          </w:p>
        </w:tc>
        <w:tc>
          <w:tcPr>
            <w:tcW w:w="1601" w:type="dxa"/>
            <w:vAlign w:val="center"/>
          </w:tcPr>
          <w:p w14:paraId="51038F5C">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EP(kg PO43-eq)</w:t>
            </w:r>
          </w:p>
        </w:tc>
        <w:tc>
          <w:tcPr>
            <w:tcW w:w="1557" w:type="dxa"/>
            <w:vAlign w:val="center"/>
          </w:tcPr>
          <w:p w14:paraId="6F3AA065">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1.497E+000</w:t>
            </w:r>
          </w:p>
        </w:tc>
        <w:tc>
          <w:tcPr>
            <w:tcW w:w="1318" w:type="dxa"/>
            <w:vAlign w:val="center"/>
          </w:tcPr>
          <w:p w14:paraId="0C457F71">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14.53%</w:t>
            </w:r>
          </w:p>
        </w:tc>
        <w:tc>
          <w:tcPr>
            <w:tcW w:w="2167" w:type="dxa"/>
            <w:vAlign w:val="center"/>
          </w:tcPr>
          <w:p w14:paraId="4DE93294">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[1.28,1.71]</w:t>
            </w:r>
          </w:p>
        </w:tc>
      </w:tr>
      <w:tr w14:paraId="0EEC19B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65C75160">
            <w:pPr>
              <w:jc w:val="center"/>
              <w:rPr>
                <w:rFonts w:ascii="Times New Roman" w:hAnsi="Times New Roman" w:eastAsia="宋体" w:cs="Times New Roman"/>
                <w:b w:val="0"/>
                <w:bCs/>
                <w:color w:val="000000"/>
                <w:szCs w:val="21"/>
              </w:rPr>
            </w:pPr>
            <w:r>
              <w:rPr>
                <w:rFonts w:ascii="Times New Roman" w:hAnsi="Times New Roman" w:eastAsia="宋体" w:cs="Times New Roman"/>
                <w:b w:val="0"/>
                <w:bCs w:val="0"/>
                <w:color w:val="000000"/>
                <w:szCs w:val="21"/>
              </w:rPr>
              <w:t>可吸入无机物</w:t>
            </w:r>
          </w:p>
        </w:tc>
        <w:tc>
          <w:tcPr>
            <w:tcW w:w="1601" w:type="dxa"/>
            <w:vAlign w:val="center"/>
          </w:tcPr>
          <w:p w14:paraId="36EA03A4">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RI(kg PM2.5 eq)</w:t>
            </w:r>
          </w:p>
        </w:tc>
        <w:tc>
          <w:tcPr>
            <w:tcW w:w="1557" w:type="dxa"/>
            <w:vAlign w:val="center"/>
          </w:tcPr>
          <w:p w14:paraId="2CC9DD6A">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2.620E+000</w:t>
            </w:r>
          </w:p>
        </w:tc>
        <w:tc>
          <w:tcPr>
            <w:tcW w:w="1318" w:type="dxa"/>
            <w:vAlign w:val="center"/>
          </w:tcPr>
          <w:p w14:paraId="16C2547F">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10.80%</w:t>
            </w:r>
          </w:p>
        </w:tc>
        <w:tc>
          <w:tcPr>
            <w:tcW w:w="2167" w:type="dxa"/>
            <w:vAlign w:val="center"/>
          </w:tcPr>
          <w:p w14:paraId="64A573EF">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[2.34,2.9]</w:t>
            </w:r>
          </w:p>
        </w:tc>
      </w:tr>
      <w:tr w14:paraId="1A395F2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4167EF39">
            <w:pPr>
              <w:jc w:val="center"/>
              <w:rPr>
                <w:rFonts w:ascii="Times New Roman" w:hAnsi="Times New Roman" w:eastAsia="宋体" w:cs="Times New Roman"/>
                <w:b w:val="0"/>
                <w:bCs/>
                <w:color w:val="000000"/>
                <w:szCs w:val="21"/>
              </w:rPr>
            </w:pPr>
            <w:r>
              <w:rPr>
                <w:rFonts w:ascii="Times New Roman" w:hAnsi="Times New Roman" w:eastAsia="宋体" w:cs="Times New Roman"/>
                <w:b w:val="0"/>
                <w:bCs w:val="0"/>
                <w:color w:val="000000"/>
                <w:szCs w:val="21"/>
              </w:rPr>
              <w:t>臭氧层消耗</w:t>
            </w:r>
          </w:p>
        </w:tc>
        <w:tc>
          <w:tcPr>
            <w:tcW w:w="1601" w:type="dxa"/>
            <w:vAlign w:val="center"/>
          </w:tcPr>
          <w:p w14:paraId="59A498AD">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ODP(kg CFC-11 eq)</w:t>
            </w:r>
          </w:p>
        </w:tc>
        <w:tc>
          <w:tcPr>
            <w:tcW w:w="1557" w:type="dxa"/>
            <w:vAlign w:val="center"/>
          </w:tcPr>
          <w:p w14:paraId="3C589C7F">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6.401E-006</w:t>
            </w:r>
          </w:p>
        </w:tc>
        <w:tc>
          <w:tcPr>
            <w:tcW w:w="1318" w:type="dxa"/>
            <w:vAlign w:val="center"/>
          </w:tcPr>
          <w:p w14:paraId="0420FBDE">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6.52%</w:t>
            </w:r>
          </w:p>
        </w:tc>
        <w:tc>
          <w:tcPr>
            <w:tcW w:w="2167" w:type="dxa"/>
            <w:vAlign w:val="center"/>
          </w:tcPr>
          <w:p w14:paraId="5EF6DBE4">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[5.98E-06,6.81E-06]</w:t>
            </w:r>
          </w:p>
        </w:tc>
      </w:tr>
      <w:tr w14:paraId="509713A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303621FA">
            <w:pPr>
              <w:jc w:val="center"/>
              <w:rPr>
                <w:rFonts w:ascii="Times New Roman" w:hAnsi="Times New Roman" w:eastAsia="宋体" w:cs="Times New Roman"/>
                <w:b w:val="0"/>
                <w:bCs/>
                <w:color w:val="000000"/>
                <w:szCs w:val="21"/>
              </w:rPr>
            </w:pPr>
            <w:r>
              <w:rPr>
                <w:rFonts w:ascii="Times New Roman" w:hAnsi="Times New Roman" w:eastAsia="宋体" w:cs="Times New Roman"/>
                <w:b w:val="0"/>
                <w:bCs w:val="0"/>
                <w:color w:val="000000"/>
                <w:szCs w:val="21"/>
              </w:rPr>
              <w:t>光化学臭氧合成</w:t>
            </w:r>
          </w:p>
        </w:tc>
        <w:tc>
          <w:tcPr>
            <w:tcW w:w="1601" w:type="dxa"/>
            <w:vAlign w:val="center"/>
          </w:tcPr>
          <w:p w14:paraId="452CCF9D">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POFP(kg NMVOC  eq)</w:t>
            </w:r>
          </w:p>
        </w:tc>
        <w:tc>
          <w:tcPr>
            <w:tcW w:w="1557" w:type="dxa"/>
            <w:vAlign w:val="center"/>
          </w:tcPr>
          <w:p w14:paraId="52A6F510">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1.228E+000</w:t>
            </w:r>
          </w:p>
        </w:tc>
        <w:tc>
          <w:tcPr>
            <w:tcW w:w="1318" w:type="dxa"/>
            <w:vAlign w:val="center"/>
          </w:tcPr>
          <w:p w14:paraId="4D316C8F">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11.26%</w:t>
            </w:r>
          </w:p>
        </w:tc>
        <w:tc>
          <w:tcPr>
            <w:tcW w:w="2167" w:type="dxa"/>
            <w:vAlign w:val="center"/>
          </w:tcPr>
          <w:p w14:paraId="16C3503A">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[1.09,1.37]</w:t>
            </w:r>
          </w:p>
        </w:tc>
      </w:tr>
    </w:tbl>
    <w:p w14:paraId="3EB5B4AF">
      <w:pPr>
        <w:pStyle w:val="12"/>
        <w:ind w:firstLine="422"/>
        <w:jc w:val="left"/>
        <w:rPr>
          <w:rFonts w:ascii="宋体" w:hAnsi="宋体" w:eastAsia="宋体" w:cs="宋体"/>
          <w:b/>
          <w:bCs/>
          <w:kern w:val="0"/>
          <w:szCs w:val="21"/>
          <w:lang w:bidi="ar"/>
        </w:rPr>
      </w:pPr>
      <w:r>
        <w:rPr>
          <w:rFonts w:hint="eastAsia" w:ascii="宋体" w:hAnsi="宋体" w:eastAsia="宋体" w:cs="宋体"/>
          <w:b/>
          <w:bCs/>
          <w:kern w:val="0"/>
          <w:szCs w:val="21"/>
          <w:lang w:bidi="ar"/>
        </w:rPr>
        <w:t>4.5同类型产品环境效益对比</w:t>
      </w:r>
    </w:p>
    <w:p w14:paraId="4644634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相较于玻璃行业普遍认可的碳排放基准范围（3000 - 5000 kgCO</w:t>
      </w:r>
      <w:r>
        <w:rPr>
          <w:rFonts w:hint="eastAsia" w:ascii="仿宋" w:hAnsi="仿宋" w:eastAsia="仿宋" w:cs="仿宋"/>
          <w:sz w:val="24"/>
          <w:szCs w:val="24"/>
          <w:vertAlign w:val="subscript"/>
        </w:rPr>
        <w:t>2</w:t>
      </w:r>
      <w:r>
        <w:rPr>
          <w:rFonts w:hint="eastAsia" w:ascii="仿宋" w:hAnsi="仿宋" w:eastAsia="仿宋" w:cs="仿宋"/>
          <w:sz w:val="24"/>
          <w:szCs w:val="24"/>
        </w:rPr>
        <w:t>/m³），我们本批次/当前生产的玻璃产品的实测碳排放因子（约1917kgCO</w:t>
      </w:r>
      <w:r>
        <w:rPr>
          <w:rFonts w:hint="eastAsia" w:ascii="仿宋" w:hAnsi="仿宋" w:eastAsia="仿宋" w:cs="仿宋"/>
          <w:sz w:val="24"/>
          <w:szCs w:val="24"/>
          <w:vertAlign w:val="subscript"/>
        </w:rPr>
        <w:t>2</w:t>
      </w:r>
      <w:r>
        <w:rPr>
          <w:rFonts w:hint="eastAsia" w:ascii="仿宋" w:hAnsi="仿宋" w:eastAsia="仿宋" w:cs="仿宋"/>
          <w:sz w:val="24"/>
          <w:szCs w:val="24"/>
        </w:rPr>
        <w:t>/t,折合4984.2kgCO</w:t>
      </w:r>
      <w:r>
        <w:rPr>
          <w:rFonts w:hint="eastAsia" w:ascii="仿宋" w:hAnsi="仿宋" w:eastAsia="仿宋" w:cs="仿宋"/>
          <w:sz w:val="24"/>
          <w:szCs w:val="24"/>
          <w:vertAlign w:val="subscript"/>
        </w:rPr>
        <w:t>2</w:t>
      </w:r>
      <w:r>
        <w:rPr>
          <w:rFonts w:hint="eastAsia" w:ascii="仿宋" w:hAnsi="仿宋" w:eastAsia="仿宋" w:cs="仿宋"/>
          <w:sz w:val="24"/>
          <w:szCs w:val="24"/>
        </w:rPr>
        <w:t>/m³）。同时调研四川一名微晶科技股份有限公司微晶玻璃，其产品碳足迹约为4600.96kgCO</w:t>
      </w:r>
      <w:r>
        <w:rPr>
          <w:rFonts w:hint="eastAsia" w:ascii="仿宋" w:hAnsi="仿宋" w:eastAsia="仿宋" w:cs="仿宋"/>
          <w:sz w:val="24"/>
          <w:szCs w:val="24"/>
          <w:vertAlign w:val="subscript"/>
        </w:rPr>
        <w:t>2</w:t>
      </w:r>
      <w:r>
        <w:rPr>
          <w:rFonts w:hint="eastAsia" w:ascii="仿宋" w:hAnsi="仿宋" w:eastAsia="仿宋" w:cs="仿宋"/>
          <w:sz w:val="24"/>
          <w:szCs w:val="24"/>
        </w:rPr>
        <w:t>/m³，略低于本项目依托产品，这一结果主要归因于生产过程中能效提升、能源结构优化（如可能使用更多绿电）的改进。总体表明当前生产碳排放表现良好，若进一步保证数据的准确性，则可进一步证实减排措施已初见成效。</w:t>
      </w:r>
    </w:p>
    <w:p w14:paraId="4BD4229D">
      <w:pPr>
        <w:pStyle w:val="12"/>
        <w:ind w:firstLine="422"/>
        <w:jc w:val="left"/>
        <w:rPr>
          <w:rFonts w:ascii="宋体" w:hAnsi="宋体" w:eastAsia="宋体" w:cs="宋体"/>
          <w:b/>
          <w:bCs/>
          <w:kern w:val="0"/>
          <w:szCs w:val="21"/>
          <w:lang w:bidi="ar"/>
        </w:rPr>
      </w:pPr>
    </w:p>
    <w:p w14:paraId="1520C797">
      <w:pPr>
        <w:pStyle w:val="3"/>
        <w:pageBreakBefore/>
        <w:spacing w:before="80"/>
        <w:rPr>
          <w:color w:val="auto"/>
          <w:szCs w:val="21"/>
          <w:highlight w:val="yellow"/>
        </w:rPr>
      </w:pPr>
      <w:bookmarkStart w:id="63" w:name="_Toc19056"/>
      <w:r>
        <w:rPr>
          <w:rFonts w:hint="eastAsia" w:ascii="宋体" w:hAnsi="宋体" w:eastAsia="宋体" w:cs="宋体"/>
          <w:b/>
          <w:bCs/>
          <w:color w:val="auto"/>
          <w:sz w:val="21"/>
          <w:szCs w:val="21"/>
        </w:rPr>
        <w:t>附录3数据收集模板</w:t>
      </w:r>
      <w:bookmarkEnd w:id="63"/>
    </w:p>
    <w:p w14:paraId="7E020CBF">
      <w:pPr>
        <w:pStyle w:val="12"/>
        <w:keepLines/>
        <w:ind w:firstLine="0" w:firstLineChars="0"/>
        <w:jc w:val="center"/>
        <w:rPr>
          <w:rFonts w:ascii="宋体" w:hAnsi="宋体" w:eastAsia="宋体" w:cs="宋体"/>
          <w:b/>
        </w:rPr>
      </w:pPr>
      <w:r>
        <w:rPr>
          <w:rFonts w:hint="eastAsia" w:ascii="宋体" w:hAnsi="宋体" w:eastAsia="宋体" w:cs="宋体"/>
          <w:b/>
        </w:rPr>
        <w:t>原辅料投入和运输信息</w:t>
      </w:r>
    </w:p>
    <w:tbl>
      <w:tblPr>
        <w:tblStyle w:val="2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033"/>
        <w:gridCol w:w="1398"/>
        <w:gridCol w:w="1352"/>
        <w:gridCol w:w="1507"/>
        <w:gridCol w:w="2415"/>
      </w:tblGrid>
      <w:tr w14:paraId="22A54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jc w:val="center"/>
        </w:trPr>
        <w:tc>
          <w:tcPr>
            <w:tcW w:w="5000" w:type="pct"/>
            <w:gridSpan w:val="6"/>
            <w:tcBorders>
              <w:bottom w:val="single" w:color="auto" w:sz="4" w:space="0"/>
              <w:right w:val="single" w:color="auto" w:sz="4" w:space="0"/>
            </w:tcBorders>
            <w:vAlign w:val="center"/>
          </w:tcPr>
          <w:p w14:paraId="4A443032">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生产过程数据收集清单</w:t>
            </w:r>
          </w:p>
        </w:tc>
      </w:tr>
      <w:tr w14:paraId="03642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jc w:val="center"/>
        </w:trPr>
        <w:tc>
          <w:tcPr>
            <w:tcW w:w="480" w:type="pct"/>
            <w:tcBorders>
              <w:bottom w:val="single" w:color="auto" w:sz="4" w:space="0"/>
            </w:tcBorders>
            <w:vAlign w:val="center"/>
          </w:tcPr>
          <w:p w14:paraId="6A883B63">
            <w:pPr>
              <w:spacing w:line="360" w:lineRule="auto"/>
              <w:jc w:val="center"/>
              <w:rPr>
                <w:rFonts w:ascii="Times New Roman" w:hAnsi="Times New Roman" w:eastAsia="方正仿宋_GB2312" w:cs="Times New Roman"/>
                <w:kern w:val="0"/>
                <w:szCs w:val="21"/>
              </w:rPr>
            </w:pPr>
            <w:bookmarkStart w:id="64" w:name="OLE_LINK1" w:colFirst="0" w:colLast="4"/>
            <w:r>
              <w:rPr>
                <w:rFonts w:hint="eastAsia" w:ascii="Times New Roman" w:hAnsi="Times New Roman" w:eastAsia="方正仿宋_GB2312" w:cs="Times New Roman"/>
                <w:kern w:val="0"/>
                <w:szCs w:val="21"/>
              </w:rPr>
              <w:t>原料名称</w:t>
            </w:r>
          </w:p>
        </w:tc>
        <w:tc>
          <w:tcPr>
            <w:tcW w:w="606" w:type="pct"/>
            <w:vAlign w:val="center"/>
          </w:tcPr>
          <w:p w14:paraId="75A46347">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单位</w:t>
            </w:r>
          </w:p>
        </w:tc>
        <w:tc>
          <w:tcPr>
            <w:tcW w:w="820" w:type="pct"/>
            <w:vAlign w:val="center"/>
          </w:tcPr>
          <w:p w14:paraId="48C01E2A">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功能单位消耗量</w:t>
            </w:r>
          </w:p>
        </w:tc>
        <w:tc>
          <w:tcPr>
            <w:tcW w:w="793" w:type="pct"/>
            <w:tcBorders>
              <w:right w:val="single" w:color="auto" w:sz="4" w:space="0"/>
            </w:tcBorders>
            <w:vAlign w:val="center"/>
          </w:tcPr>
          <w:p w14:paraId="115BE90C">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运输方式</w:t>
            </w:r>
          </w:p>
        </w:tc>
        <w:tc>
          <w:tcPr>
            <w:tcW w:w="884" w:type="pct"/>
            <w:tcBorders>
              <w:right w:val="single" w:color="auto" w:sz="4" w:space="0"/>
            </w:tcBorders>
            <w:vAlign w:val="center"/>
          </w:tcPr>
          <w:p w14:paraId="71ED8D7E">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运输距离（km）</w:t>
            </w:r>
          </w:p>
        </w:tc>
        <w:tc>
          <w:tcPr>
            <w:tcW w:w="1414" w:type="pct"/>
            <w:tcBorders>
              <w:right w:val="single" w:color="auto" w:sz="4" w:space="0"/>
            </w:tcBorders>
            <w:vAlign w:val="center"/>
          </w:tcPr>
          <w:p w14:paraId="795A678F">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备注（包含产地、获取方式等）</w:t>
            </w:r>
          </w:p>
        </w:tc>
      </w:tr>
      <w:tr w14:paraId="76B65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480" w:type="pct"/>
            <w:tcBorders>
              <w:top w:val="single" w:color="auto" w:sz="4" w:space="0"/>
              <w:bottom w:val="single" w:color="auto" w:sz="4" w:space="0"/>
            </w:tcBorders>
            <w:vAlign w:val="center"/>
          </w:tcPr>
          <w:p w14:paraId="42DF5661">
            <w:pPr>
              <w:spacing w:line="360" w:lineRule="auto"/>
              <w:jc w:val="center"/>
              <w:rPr>
                <w:rFonts w:ascii="宋体" w:hAnsi="宋体" w:eastAsia="宋体" w:cs="Times New Roman"/>
                <w:szCs w:val="21"/>
              </w:rPr>
            </w:pPr>
          </w:p>
        </w:tc>
        <w:tc>
          <w:tcPr>
            <w:tcW w:w="606" w:type="pct"/>
            <w:vAlign w:val="center"/>
          </w:tcPr>
          <w:p w14:paraId="02A6C2B5">
            <w:pPr>
              <w:spacing w:line="360" w:lineRule="auto"/>
              <w:jc w:val="center"/>
              <w:rPr>
                <w:rFonts w:ascii="宋体" w:hAnsi="宋体" w:eastAsia="宋体" w:cs="Times New Roman"/>
                <w:szCs w:val="21"/>
              </w:rPr>
            </w:pPr>
          </w:p>
        </w:tc>
        <w:tc>
          <w:tcPr>
            <w:tcW w:w="820" w:type="pct"/>
            <w:vAlign w:val="center"/>
          </w:tcPr>
          <w:p w14:paraId="0E4AD4C2">
            <w:pPr>
              <w:spacing w:line="360" w:lineRule="auto"/>
              <w:jc w:val="center"/>
              <w:rPr>
                <w:rFonts w:ascii="宋体" w:hAnsi="宋体" w:eastAsia="宋体" w:cs="Times New Roman"/>
                <w:szCs w:val="21"/>
              </w:rPr>
            </w:pPr>
          </w:p>
        </w:tc>
        <w:tc>
          <w:tcPr>
            <w:tcW w:w="793" w:type="pct"/>
            <w:tcBorders>
              <w:right w:val="single" w:color="auto" w:sz="4" w:space="0"/>
            </w:tcBorders>
            <w:vAlign w:val="center"/>
          </w:tcPr>
          <w:p w14:paraId="20DA25F0">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08E979FA">
            <w:pPr>
              <w:spacing w:line="360" w:lineRule="auto"/>
              <w:jc w:val="center"/>
              <w:rPr>
                <w:rFonts w:ascii="宋体" w:hAnsi="宋体" w:eastAsia="宋体" w:cs="Times New Roman"/>
                <w:szCs w:val="21"/>
              </w:rPr>
            </w:pPr>
          </w:p>
        </w:tc>
        <w:tc>
          <w:tcPr>
            <w:tcW w:w="1414" w:type="pct"/>
            <w:tcBorders>
              <w:right w:val="single" w:color="auto" w:sz="4" w:space="0"/>
            </w:tcBorders>
            <w:vAlign w:val="center"/>
          </w:tcPr>
          <w:p w14:paraId="42C7EAE8">
            <w:pPr>
              <w:spacing w:line="360" w:lineRule="auto"/>
              <w:jc w:val="center"/>
              <w:rPr>
                <w:rFonts w:ascii="宋体" w:hAnsi="宋体" w:eastAsia="宋体" w:cs="Times New Roman"/>
                <w:szCs w:val="21"/>
              </w:rPr>
            </w:pPr>
          </w:p>
        </w:tc>
      </w:tr>
      <w:tr w14:paraId="0F8F7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 w:hRule="atLeast"/>
          <w:jc w:val="center"/>
        </w:trPr>
        <w:tc>
          <w:tcPr>
            <w:tcW w:w="480" w:type="pct"/>
            <w:tcBorders>
              <w:top w:val="single" w:color="auto" w:sz="4" w:space="0"/>
              <w:bottom w:val="single" w:color="auto" w:sz="4" w:space="0"/>
            </w:tcBorders>
            <w:vAlign w:val="center"/>
          </w:tcPr>
          <w:p w14:paraId="04E82395">
            <w:pPr>
              <w:spacing w:line="360" w:lineRule="auto"/>
              <w:jc w:val="center"/>
              <w:rPr>
                <w:rFonts w:ascii="Calibri" w:hAnsi="Calibri" w:eastAsia="宋体" w:cs="Times New Roman"/>
                <w:sz w:val="24"/>
              </w:rPr>
            </w:pPr>
          </w:p>
        </w:tc>
        <w:tc>
          <w:tcPr>
            <w:tcW w:w="606" w:type="pct"/>
            <w:vAlign w:val="center"/>
          </w:tcPr>
          <w:p w14:paraId="7E5712A4">
            <w:pPr>
              <w:spacing w:line="360" w:lineRule="auto"/>
              <w:jc w:val="center"/>
              <w:rPr>
                <w:rFonts w:ascii="Calibri" w:hAnsi="Calibri" w:eastAsia="宋体" w:cs="Times New Roman"/>
                <w:sz w:val="28"/>
                <w:szCs w:val="28"/>
              </w:rPr>
            </w:pPr>
          </w:p>
        </w:tc>
        <w:tc>
          <w:tcPr>
            <w:tcW w:w="820" w:type="pct"/>
            <w:vAlign w:val="center"/>
          </w:tcPr>
          <w:p w14:paraId="4E4CA740">
            <w:pPr>
              <w:spacing w:line="360" w:lineRule="auto"/>
              <w:jc w:val="center"/>
              <w:rPr>
                <w:rFonts w:ascii="Calibri" w:hAnsi="Calibri" w:eastAsia="宋体" w:cs="Times New Roman"/>
                <w:sz w:val="28"/>
                <w:szCs w:val="28"/>
              </w:rPr>
            </w:pPr>
          </w:p>
        </w:tc>
        <w:tc>
          <w:tcPr>
            <w:tcW w:w="793" w:type="pct"/>
            <w:tcBorders>
              <w:right w:val="single" w:color="auto" w:sz="4" w:space="0"/>
            </w:tcBorders>
            <w:vAlign w:val="center"/>
          </w:tcPr>
          <w:p w14:paraId="5337CE49">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003E2987">
            <w:pPr>
              <w:spacing w:line="360" w:lineRule="auto"/>
              <w:jc w:val="center"/>
              <w:rPr>
                <w:rFonts w:ascii="Calibri" w:hAnsi="Calibri" w:eastAsia="宋体" w:cs="Times New Roman"/>
                <w:sz w:val="28"/>
                <w:szCs w:val="28"/>
              </w:rPr>
            </w:pPr>
          </w:p>
        </w:tc>
        <w:tc>
          <w:tcPr>
            <w:tcW w:w="1414" w:type="pct"/>
            <w:tcBorders>
              <w:right w:val="single" w:color="auto" w:sz="4" w:space="0"/>
            </w:tcBorders>
            <w:vAlign w:val="center"/>
          </w:tcPr>
          <w:p w14:paraId="2C3CD97B">
            <w:pPr>
              <w:spacing w:line="360" w:lineRule="auto"/>
              <w:jc w:val="center"/>
              <w:rPr>
                <w:rFonts w:ascii="Calibri" w:hAnsi="Calibri" w:eastAsia="宋体" w:cs="Times New Roman"/>
                <w:sz w:val="28"/>
                <w:szCs w:val="28"/>
              </w:rPr>
            </w:pPr>
          </w:p>
        </w:tc>
      </w:tr>
      <w:bookmarkEnd w:id="64"/>
      <w:tr w14:paraId="2395C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80" w:type="pct"/>
            <w:tcBorders>
              <w:top w:val="single" w:color="auto" w:sz="4" w:space="0"/>
              <w:bottom w:val="single" w:color="auto" w:sz="4" w:space="0"/>
            </w:tcBorders>
            <w:vAlign w:val="center"/>
          </w:tcPr>
          <w:p w14:paraId="6DDBFECA">
            <w:pPr>
              <w:spacing w:line="360" w:lineRule="auto"/>
              <w:jc w:val="center"/>
              <w:rPr>
                <w:rFonts w:ascii="Calibri" w:hAnsi="Calibri" w:eastAsia="宋体" w:cs="Times New Roman"/>
                <w:sz w:val="24"/>
              </w:rPr>
            </w:pPr>
          </w:p>
        </w:tc>
        <w:tc>
          <w:tcPr>
            <w:tcW w:w="606" w:type="pct"/>
            <w:vAlign w:val="center"/>
          </w:tcPr>
          <w:p w14:paraId="5FFC323B">
            <w:pPr>
              <w:spacing w:line="360" w:lineRule="auto"/>
              <w:jc w:val="center"/>
              <w:rPr>
                <w:rFonts w:ascii="Calibri" w:hAnsi="Calibri" w:eastAsia="宋体" w:cs="Times New Roman"/>
                <w:sz w:val="28"/>
                <w:szCs w:val="28"/>
              </w:rPr>
            </w:pPr>
          </w:p>
        </w:tc>
        <w:tc>
          <w:tcPr>
            <w:tcW w:w="820" w:type="pct"/>
            <w:vAlign w:val="center"/>
          </w:tcPr>
          <w:p w14:paraId="13EDE1F6">
            <w:pPr>
              <w:spacing w:line="360" w:lineRule="auto"/>
              <w:jc w:val="center"/>
              <w:rPr>
                <w:rFonts w:ascii="Calibri" w:hAnsi="Calibri" w:eastAsia="宋体" w:cs="Times New Roman"/>
                <w:sz w:val="28"/>
                <w:szCs w:val="28"/>
              </w:rPr>
            </w:pPr>
          </w:p>
        </w:tc>
        <w:tc>
          <w:tcPr>
            <w:tcW w:w="793" w:type="pct"/>
            <w:tcBorders>
              <w:right w:val="single" w:color="auto" w:sz="4" w:space="0"/>
            </w:tcBorders>
            <w:vAlign w:val="center"/>
          </w:tcPr>
          <w:p w14:paraId="4C729C18">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101625C5">
            <w:pPr>
              <w:spacing w:line="360" w:lineRule="auto"/>
              <w:jc w:val="center"/>
              <w:rPr>
                <w:rFonts w:ascii="Calibri" w:hAnsi="Calibri" w:eastAsia="宋体" w:cs="Times New Roman"/>
                <w:sz w:val="28"/>
                <w:szCs w:val="28"/>
              </w:rPr>
            </w:pPr>
          </w:p>
        </w:tc>
        <w:tc>
          <w:tcPr>
            <w:tcW w:w="1414" w:type="pct"/>
            <w:tcBorders>
              <w:right w:val="single" w:color="auto" w:sz="4" w:space="0"/>
            </w:tcBorders>
            <w:vAlign w:val="center"/>
          </w:tcPr>
          <w:p w14:paraId="3705EFCD">
            <w:pPr>
              <w:spacing w:line="360" w:lineRule="auto"/>
              <w:jc w:val="center"/>
              <w:rPr>
                <w:rFonts w:ascii="Calibri" w:hAnsi="Calibri" w:eastAsia="宋体" w:cs="Times New Roman"/>
                <w:sz w:val="28"/>
                <w:szCs w:val="28"/>
              </w:rPr>
            </w:pPr>
          </w:p>
        </w:tc>
      </w:tr>
      <w:tr w14:paraId="09445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80" w:type="pct"/>
            <w:tcBorders>
              <w:top w:val="single" w:color="auto" w:sz="4" w:space="0"/>
              <w:bottom w:val="single" w:color="auto" w:sz="4" w:space="0"/>
            </w:tcBorders>
            <w:vAlign w:val="center"/>
          </w:tcPr>
          <w:p w14:paraId="7BC13086">
            <w:pPr>
              <w:spacing w:line="360" w:lineRule="auto"/>
              <w:jc w:val="center"/>
              <w:rPr>
                <w:rFonts w:ascii="Calibri" w:hAnsi="Calibri" w:eastAsia="宋体" w:cs="Times New Roman"/>
                <w:sz w:val="24"/>
              </w:rPr>
            </w:pPr>
          </w:p>
        </w:tc>
        <w:tc>
          <w:tcPr>
            <w:tcW w:w="606" w:type="pct"/>
            <w:vAlign w:val="center"/>
          </w:tcPr>
          <w:p w14:paraId="5ABB9534">
            <w:pPr>
              <w:spacing w:line="360" w:lineRule="auto"/>
              <w:jc w:val="center"/>
              <w:rPr>
                <w:rFonts w:ascii="Calibri" w:hAnsi="Calibri" w:eastAsia="宋体" w:cs="Times New Roman"/>
                <w:sz w:val="28"/>
                <w:szCs w:val="28"/>
              </w:rPr>
            </w:pPr>
          </w:p>
        </w:tc>
        <w:tc>
          <w:tcPr>
            <w:tcW w:w="820" w:type="pct"/>
            <w:vAlign w:val="center"/>
          </w:tcPr>
          <w:p w14:paraId="17E2DDF9">
            <w:pPr>
              <w:spacing w:line="360" w:lineRule="auto"/>
              <w:jc w:val="center"/>
              <w:rPr>
                <w:rFonts w:ascii="Calibri" w:hAnsi="Calibri" w:eastAsia="宋体" w:cs="Times New Roman"/>
                <w:sz w:val="28"/>
                <w:szCs w:val="28"/>
              </w:rPr>
            </w:pPr>
          </w:p>
        </w:tc>
        <w:tc>
          <w:tcPr>
            <w:tcW w:w="793" w:type="pct"/>
            <w:tcBorders>
              <w:right w:val="single" w:color="auto" w:sz="4" w:space="0"/>
            </w:tcBorders>
            <w:vAlign w:val="center"/>
          </w:tcPr>
          <w:p w14:paraId="61AC3E68">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270C19EB">
            <w:pPr>
              <w:spacing w:line="360" w:lineRule="auto"/>
              <w:jc w:val="center"/>
              <w:rPr>
                <w:rFonts w:ascii="Calibri" w:hAnsi="Calibri" w:eastAsia="宋体" w:cs="Times New Roman"/>
                <w:sz w:val="28"/>
                <w:szCs w:val="28"/>
              </w:rPr>
            </w:pPr>
          </w:p>
        </w:tc>
        <w:tc>
          <w:tcPr>
            <w:tcW w:w="1414" w:type="pct"/>
            <w:tcBorders>
              <w:right w:val="single" w:color="auto" w:sz="4" w:space="0"/>
            </w:tcBorders>
            <w:vAlign w:val="center"/>
          </w:tcPr>
          <w:p w14:paraId="7982D6BA">
            <w:pPr>
              <w:spacing w:line="360" w:lineRule="auto"/>
              <w:jc w:val="center"/>
              <w:rPr>
                <w:rFonts w:ascii="Calibri" w:hAnsi="Calibri" w:eastAsia="宋体" w:cs="Times New Roman"/>
                <w:sz w:val="28"/>
                <w:szCs w:val="28"/>
              </w:rPr>
            </w:pPr>
          </w:p>
        </w:tc>
      </w:tr>
      <w:tr w14:paraId="5FA35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480" w:type="pct"/>
            <w:tcBorders>
              <w:top w:val="single" w:color="auto" w:sz="4" w:space="0"/>
              <w:bottom w:val="single" w:color="auto" w:sz="4" w:space="0"/>
            </w:tcBorders>
            <w:vAlign w:val="center"/>
          </w:tcPr>
          <w:p w14:paraId="56CAC07A">
            <w:pPr>
              <w:spacing w:line="360" w:lineRule="auto"/>
              <w:jc w:val="center"/>
              <w:rPr>
                <w:rFonts w:ascii="Calibri" w:hAnsi="Calibri" w:eastAsia="宋体" w:cs="Times New Roman"/>
                <w:sz w:val="24"/>
              </w:rPr>
            </w:pPr>
          </w:p>
        </w:tc>
        <w:tc>
          <w:tcPr>
            <w:tcW w:w="606" w:type="pct"/>
            <w:vAlign w:val="center"/>
          </w:tcPr>
          <w:p w14:paraId="795591DC">
            <w:pPr>
              <w:spacing w:line="360" w:lineRule="auto"/>
              <w:jc w:val="center"/>
              <w:rPr>
                <w:rFonts w:ascii="Calibri" w:hAnsi="Calibri" w:eastAsia="宋体" w:cs="Times New Roman"/>
                <w:sz w:val="28"/>
                <w:szCs w:val="28"/>
              </w:rPr>
            </w:pPr>
          </w:p>
        </w:tc>
        <w:tc>
          <w:tcPr>
            <w:tcW w:w="820" w:type="pct"/>
            <w:vAlign w:val="center"/>
          </w:tcPr>
          <w:p w14:paraId="167164A8">
            <w:pPr>
              <w:spacing w:line="360" w:lineRule="auto"/>
              <w:jc w:val="center"/>
              <w:rPr>
                <w:rFonts w:ascii="Calibri" w:hAnsi="Calibri" w:eastAsia="宋体" w:cs="Times New Roman"/>
                <w:sz w:val="28"/>
                <w:szCs w:val="28"/>
              </w:rPr>
            </w:pPr>
          </w:p>
        </w:tc>
        <w:tc>
          <w:tcPr>
            <w:tcW w:w="793" w:type="pct"/>
            <w:tcBorders>
              <w:right w:val="single" w:color="auto" w:sz="4" w:space="0"/>
            </w:tcBorders>
            <w:vAlign w:val="center"/>
          </w:tcPr>
          <w:p w14:paraId="6CC78307">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70765495">
            <w:pPr>
              <w:spacing w:line="360" w:lineRule="auto"/>
              <w:jc w:val="center"/>
              <w:rPr>
                <w:rFonts w:ascii="Calibri" w:hAnsi="Calibri" w:eastAsia="宋体" w:cs="Times New Roman"/>
                <w:sz w:val="28"/>
                <w:szCs w:val="28"/>
              </w:rPr>
            </w:pPr>
          </w:p>
        </w:tc>
        <w:tc>
          <w:tcPr>
            <w:tcW w:w="1414" w:type="pct"/>
            <w:tcBorders>
              <w:right w:val="single" w:color="auto" w:sz="4" w:space="0"/>
            </w:tcBorders>
            <w:vAlign w:val="center"/>
          </w:tcPr>
          <w:p w14:paraId="3087BF80">
            <w:pPr>
              <w:spacing w:line="360" w:lineRule="auto"/>
              <w:jc w:val="center"/>
              <w:rPr>
                <w:rFonts w:ascii="Calibri" w:hAnsi="Calibri" w:eastAsia="宋体" w:cs="Times New Roman"/>
                <w:sz w:val="28"/>
                <w:szCs w:val="28"/>
              </w:rPr>
            </w:pPr>
          </w:p>
        </w:tc>
      </w:tr>
      <w:tr w14:paraId="0420A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480" w:type="pct"/>
            <w:tcBorders>
              <w:top w:val="single" w:color="auto" w:sz="4" w:space="0"/>
              <w:bottom w:val="single" w:color="auto" w:sz="4" w:space="0"/>
            </w:tcBorders>
            <w:vAlign w:val="center"/>
          </w:tcPr>
          <w:p w14:paraId="63AE641C">
            <w:pPr>
              <w:spacing w:line="360" w:lineRule="auto"/>
              <w:jc w:val="center"/>
              <w:rPr>
                <w:rFonts w:ascii="Calibri" w:hAnsi="Calibri" w:eastAsia="宋体" w:cs="Times New Roman"/>
                <w:sz w:val="24"/>
              </w:rPr>
            </w:pPr>
          </w:p>
        </w:tc>
        <w:tc>
          <w:tcPr>
            <w:tcW w:w="606" w:type="pct"/>
            <w:vAlign w:val="center"/>
          </w:tcPr>
          <w:p w14:paraId="6672356D">
            <w:pPr>
              <w:spacing w:line="360" w:lineRule="auto"/>
              <w:jc w:val="center"/>
              <w:rPr>
                <w:rFonts w:ascii="Calibri" w:hAnsi="Calibri" w:eastAsia="宋体" w:cs="Times New Roman"/>
                <w:sz w:val="28"/>
                <w:szCs w:val="28"/>
              </w:rPr>
            </w:pPr>
          </w:p>
        </w:tc>
        <w:tc>
          <w:tcPr>
            <w:tcW w:w="820" w:type="pct"/>
            <w:vAlign w:val="center"/>
          </w:tcPr>
          <w:p w14:paraId="393C0754">
            <w:pPr>
              <w:spacing w:line="360" w:lineRule="auto"/>
              <w:jc w:val="center"/>
              <w:rPr>
                <w:rFonts w:ascii="Calibri" w:hAnsi="Calibri" w:eastAsia="宋体" w:cs="Times New Roman"/>
                <w:sz w:val="28"/>
                <w:szCs w:val="28"/>
              </w:rPr>
            </w:pPr>
          </w:p>
        </w:tc>
        <w:tc>
          <w:tcPr>
            <w:tcW w:w="793" w:type="pct"/>
            <w:tcBorders>
              <w:right w:val="single" w:color="auto" w:sz="4" w:space="0"/>
            </w:tcBorders>
            <w:vAlign w:val="center"/>
          </w:tcPr>
          <w:p w14:paraId="6A26C9D5">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0100D379">
            <w:pPr>
              <w:spacing w:line="360" w:lineRule="auto"/>
              <w:jc w:val="center"/>
              <w:rPr>
                <w:rFonts w:ascii="Calibri" w:hAnsi="Calibri" w:eastAsia="宋体" w:cs="Times New Roman"/>
                <w:sz w:val="28"/>
                <w:szCs w:val="28"/>
              </w:rPr>
            </w:pPr>
          </w:p>
        </w:tc>
        <w:tc>
          <w:tcPr>
            <w:tcW w:w="1414" w:type="pct"/>
            <w:tcBorders>
              <w:right w:val="single" w:color="auto" w:sz="4" w:space="0"/>
            </w:tcBorders>
            <w:vAlign w:val="center"/>
          </w:tcPr>
          <w:p w14:paraId="0DD9E58D">
            <w:pPr>
              <w:spacing w:line="360" w:lineRule="auto"/>
              <w:jc w:val="center"/>
              <w:rPr>
                <w:rFonts w:ascii="Calibri" w:hAnsi="Calibri" w:eastAsia="宋体" w:cs="Times New Roman"/>
                <w:sz w:val="28"/>
                <w:szCs w:val="28"/>
              </w:rPr>
            </w:pPr>
          </w:p>
        </w:tc>
      </w:tr>
      <w:tr w14:paraId="161C1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480" w:type="pct"/>
            <w:tcBorders>
              <w:top w:val="single" w:color="auto" w:sz="4" w:space="0"/>
              <w:bottom w:val="single" w:color="auto" w:sz="4" w:space="0"/>
            </w:tcBorders>
            <w:vAlign w:val="center"/>
          </w:tcPr>
          <w:p w14:paraId="4183877F">
            <w:pPr>
              <w:spacing w:line="360" w:lineRule="auto"/>
              <w:jc w:val="center"/>
              <w:rPr>
                <w:rFonts w:ascii="Calibri" w:hAnsi="Calibri" w:eastAsia="宋体" w:cs="Times New Roman"/>
                <w:sz w:val="24"/>
              </w:rPr>
            </w:pPr>
          </w:p>
        </w:tc>
        <w:tc>
          <w:tcPr>
            <w:tcW w:w="606" w:type="pct"/>
            <w:vAlign w:val="center"/>
          </w:tcPr>
          <w:p w14:paraId="3BA48584">
            <w:pPr>
              <w:spacing w:line="360" w:lineRule="auto"/>
              <w:jc w:val="center"/>
              <w:rPr>
                <w:rFonts w:ascii="Calibri" w:hAnsi="Calibri" w:eastAsia="宋体" w:cs="Times New Roman"/>
                <w:sz w:val="28"/>
                <w:szCs w:val="28"/>
              </w:rPr>
            </w:pPr>
          </w:p>
        </w:tc>
        <w:tc>
          <w:tcPr>
            <w:tcW w:w="820" w:type="pct"/>
            <w:vAlign w:val="center"/>
          </w:tcPr>
          <w:p w14:paraId="6022D8F5">
            <w:pPr>
              <w:spacing w:line="360" w:lineRule="auto"/>
              <w:jc w:val="center"/>
              <w:rPr>
                <w:rFonts w:ascii="Calibri" w:hAnsi="Calibri" w:eastAsia="宋体" w:cs="Times New Roman"/>
                <w:sz w:val="28"/>
                <w:szCs w:val="28"/>
              </w:rPr>
            </w:pPr>
          </w:p>
        </w:tc>
        <w:tc>
          <w:tcPr>
            <w:tcW w:w="793" w:type="pct"/>
            <w:tcBorders>
              <w:right w:val="single" w:color="auto" w:sz="4" w:space="0"/>
            </w:tcBorders>
            <w:vAlign w:val="center"/>
          </w:tcPr>
          <w:p w14:paraId="3859C520">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58737F28">
            <w:pPr>
              <w:spacing w:line="360" w:lineRule="auto"/>
              <w:jc w:val="center"/>
              <w:rPr>
                <w:rFonts w:ascii="Calibri" w:hAnsi="Calibri" w:eastAsia="宋体" w:cs="Times New Roman"/>
                <w:sz w:val="28"/>
                <w:szCs w:val="28"/>
              </w:rPr>
            </w:pPr>
          </w:p>
        </w:tc>
        <w:tc>
          <w:tcPr>
            <w:tcW w:w="1414" w:type="pct"/>
            <w:tcBorders>
              <w:right w:val="single" w:color="auto" w:sz="4" w:space="0"/>
            </w:tcBorders>
            <w:vAlign w:val="center"/>
          </w:tcPr>
          <w:p w14:paraId="4322E1DD">
            <w:pPr>
              <w:spacing w:line="360" w:lineRule="auto"/>
              <w:jc w:val="center"/>
              <w:rPr>
                <w:rFonts w:ascii="Calibri" w:hAnsi="Calibri" w:eastAsia="宋体" w:cs="Times New Roman"/>
                <w:sz w:val="28"/>
                <w:szCs w:val="28"/>
              </w:rPr>
            </w:pPr>
          </w:p>
        </w:tc>
      </w:tr>
      <w:tr w14:paraId="23E20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480" w:type="pct"/>
            <w:vAlign w:val="center"/>
          </w:tcPr>
          <w:p w14:paraId="6C4315E6">
            <w:pPr>
              <w:spacing w:line="360" w:lineRule="auto"/>
              <w:jc w:val="center"/>
              <w:rPr>
                <w:rFonts w:ascii="Calibri" w:hAnsi="Calibri" w:eastAsia="宋体" w:cs="Times New Roman"/>
                <w:sz w:val="24"/>
              </w:rPr>
            </w:pPr>
          </w:p>
        </w:tc>
        <w:tc>
          <w:tcPr>
            <w:tcW w:w="606" w:type="pct"/>
            <w:vAlign w:val="center"/>
          </w:tcPr>
          <w:p w14:paraId="7396076A">
            <w:pPr>
              <w:spacing w:line="360" w:lineRule="auto"/>
              <w:jc w:val="center"/>
              <w:rPr>
                <w:rFonts w:ascii="Calibri" w:hAnsi="Calibri" w:eastAsia="宋体" w:cs="Times New Roman"/>
                <w:sz w:val="28"/>
                <w:szCs w:val="28"/>
              </w:rPr>
            </w:pPr>
          </w:p>
        </w:tc>
        <w:tc>
          <w:tcPr>
            <w:tcW w:w="820" w:type="pct"/>
            <w:vAlign w:val="center"/>
          </w:tcPr>
          <w:p w14:paraId="190138CD">
            <w:pPr>
              <w:spacing w:line="360" w:lineRule="auto"/>
              <w:jc w:val="center"/>
              <w:rPr>
                <w:rFonts w:ascii="Calibri" w:hAnsi="Calibri" w:eastAsia="宋体" w:cs="Times New Roman"/>
                <w:sz w:val="28"/>
                <w:szCs w:val="28"/>
              </w:rPr>
            </w:pPr>
          </w:p>
        </w:tc>
        <w:tc>
          <w:tcPr>
            <w:tcW w:w="793" w:type="pct"/>
            <w:tcBorders>
              <w:right w:val="single" w:color="auto" w:sz="4" w:space="0"/>
            </w:tcBorders>
            <w:vAlign w:val="center"/>
          </w:tcPr>
          <w:p w14:paraId="1FC22A63">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0BC59C50">
            <w:pPr>
              <w:spacing w:line="360" w:lineRule="auto"/>
              <w:jc w:val="center"/>
              <w:rPr>
                <w:rFonts w:ascii="Calibri" w:hAnsi="Calibri" w:eastAsia="宋体" w:cs="Times New Roman"/>
                <w:sz w:val="28"/>
                <w:szCs w:val="28"/>
              </w:rPr>
            </w:pPr>
          </w:p>
        </w:tc>
        <w:tc>
          <w:tcPr>
            <w:tcW w:w="1414" w:type="pct"/>
            <w:tcBorders>
              <w:right w:val="single" w:color="auto" w:sz="4" w:space="0"/>
            </w:tcBorders>
            <w:vAlign w:val="center"/>
          </w:tcPr>
          <w:p w14:paraId="263DC90A">
            <w:pPr>
              <w:spacing w:line="360" w:lineRule="auto"/>
              <w:jc w:val="center"/>
              <w:rPr>
                <w:rFonts w:ascii="Calibri" w:hAnsi="Calibri" w:eastAsia="宋体" w:cs="Times New Roman"/>
                <w:sz w:val="28"/>
                <w:szCs w:val="28"/>
              </w:rPr>
            </w:pPr>
          </w:p>
        </w:tc>
      </w:tr>
      <w:tr w14:paraId="62695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480" w:type="pct"/>
            <w:vAlign w:val="center"/>
          </w:tcPr>
          <w:p w14:paraId="3382659C">
            <w:pPr>
              <w:spacing w:line="360" w:lineRule="auto"/>
              <w:jc w:val="center"/>
              <w:rPr>
                <w:rFonts w:ascii="Calibri" w:hAnsi="Calibri" w:eastAsia="宋体" w:cs="Times New Roman"/>
                <w:sz w:val="24"/>
              </w:rPr>
            </w:pPr>
          </w:p>
        </w:tc>
        <w:tc>
          <w:tcPr>
            <w:tcW w:w="606" w:type="pct"/>
            <w:vAlign w:val="center"/>
          </w:tcPr>
          <w:p w14:paraId="2901EED0">
            <w:pPr>
              <w:spacing w:line="360" w:lineRule="auto"/>
              <w:jc w:val="center"/>
              <w:rPr>
                <w:rFonts w:ascii="Calibri" w:hAnsi="Calibri" w:eastAsia="宋体" w:cs="Times New Roman"/>
                <w:sz w:val="28"/>
                <w:szCs w:val="28"/>
              </w:rPr>
            </w:pPr>
          </w:p>
        </w:tc>
        <w:tc>
          <w:tcPr>
            <w:tcW w:w="820" w:type="pct"/>
            <w:vAlign w:val="center"/>
          </w:tcPr>
          <w:p w14:paraId="711986B3">
            <w:pPr>
              <w:spacing w:line="360" w:lineRule="auto"/>
              <w:jc w:val="center"/>
              <w:rPr>
                <w:rFonts w:ascii="Calibri" w:hAnsi="Calibri" w:eastAsia="宋体" w:cs="Times New Roman"/>
                <w:sz w:val="28"/>
                <w:szCs w:val="28"/>
              </w:rPr>
            </w:pPr>
          </w:p>
        </w:tc>
        <w:tc>
          <w:tcPr>
            <w:tcW w:w="793" w:type="pct"/>
            <w:tcBorders>
              <w:right w:val="single" w:color="auto" w:sz="4" w:space="0"/>
            </w:tcBorders>
            <w:vAlign w:val="center"/>
          </w:tcPr>
          <w:p w14:paraId="007E6D77">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49FDB55E">
            <w:pPr>
              <w:spacing w:line="360" w:lineRule="auto"/>
              <w:jc w:val="center"/>
              <w:rPr>
                <w:rFonts w:ascii="Calibri" w:hAnsi="Calibri" w:eastAsia="宋体" w:cs="Times New Roman"/>
                <w:sz w:val="28"/>
                <w:szCs w:val="28"/>
              </w:rPr>
            </w:pPr>
          </w:p>
        </w:tc>
        <w:tc>
          <w:tcPr>
            <w:tcW w:w="1414" w:type="pct"/>
            <w:tcBorders>
              <w:right w:val="single" w:color="auto" w:sz="4" w:space="0"/>
            </w:tcBorders>
            <w:vAlign w:val="center"/>
          </w:tcPr>
          <w:p w14:paraId="228BDDCC">
            <w:pPr>
              <w:spacing w:line="360" w:lineRule="auto"/>
              <w:jc w:val="center"/>
              <w:rPr>
                <w:rFonts w:ascii="Calibri" w:hAnsi="Calibri" w:eastAsia="宋体" w:cs="Times New Roman"/>
                <w:sz w:val="28"/>
                <w:szCs w:val="28"/>
              </w:rPr>
            </w:pPr>
          </w:p>
        </w:tc>
      </w:tr>
      <w:tr w14:paraId="4246B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480" w:type="pct"/>
            <w:vAlign w:val="center"/>
          </w:tcPr>
          <w:p w14:paraId="1378AEC8">
            <w:pPr>
              <w:spacing w:line="360" w:lineRule="auto"/>
              <w:jc w:val="center"/>
              <w:rPr>
                <w:rFonts w:ascii="Calibri" w:hAnsi="Calibri" w:eastAsia="宋体" w:cs="Times New Roman"/>
                <w:sz w:val="24"/>
              </w:rPr>
            </w:pPr>
          </w:p>
        </w:tc>
        <w:tc>
          <w:tcPr>
            <w:tcW w:w="606" w:type="pct"/>
            <w:vAlign w:val="center"/>
          </w:tcPr>
          <w:p w14:paraId="2B18E0AF">
            <w:pPr>
              <w:spacing w:line="360" w:lineRule="auto"/>
              <w:jc w:val="center"/>
              <w:rPr>
                <w:rFonts w:ascii="Calibri" w:hAnsi="Calibri" w:eastAsia="宋体" w:cs="Times New Roman"/>
                <w:sz w:val="28"/>
                <w:szCs w:val="28"/>
              </w:rPr>
            </w:pPr>
          </w:p>
        </w:tc>
        <w:tc>
          <w:tcPr>
            <w:tcW w:w="820" w:type="pct"/>
            <w:vAlign w:val="center"/>
          </w:tcPr>
          <w:p w14:paraId="52305A5F">
            <w:pPr>
              <w:spacing w:line="360" w:lineRule="auto"/>
              <w:jc w:val="center"/>
              <w:rPr>
                <w:rFonts w:ascii="Calibri" w:hAnsi="Calibri" w:eastAsia="宋体" w:cs="Times New Roman"/>
                <w:sz w:val="28"/>
                <w:szCs w:val="28"/>
              </w:rPr>
            </w:pPr>
          </w:p>
        </w:tc>
        <w:tc>
          <w:tcPr>
            <w:tcW w:w="793" w:type="pct"/>
            <w:tcBorders>
              <w:right w:val="single" w:color="auto" w:sz="4" w:space="0"/>
            </w:tcBorders>
            <w:vAlign w:val="center"/>
          </w:tcPr>
          <w:p w14:paraId="4A1D1D72">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7C0479F9">
            <w:pPr>
              <w:spacing w:line="360" w:lineRule="auto"/>
              <w:jc w:val="center"/>
              <w:rPr>
                <w:rFonts w:ascii="Calibri" w:hAnsi="Calibri" w:eastAsia="宋体" w:cs="Times New Roman"/>
                <w:sz w:val="28"/>
                <w:szCs w:val="28"/>
              </w:rPr>
            </w:pPr>
          </w:p>
        </w:tc>
        <w:tc>
          <w:tcPr>
            <w:tcW w:w="1414" w:type="pct"/>
            <w:tcBorders>
              <w:right w:val="single" w:color="auto" w:sz="4" w:space="0"/>
            </w:tcBorders>
            <w:vAlign w:val="center"/>
          </w:tcPr>
          <w:p w14:paraId="29D0C1C6">
            <w:pPr>
              <w:spacing w:line="360" w:lineRule="auto"/>
              <w:jc w:val="center"/>
              <w:rPr>
                <w:rFonts w:ascii="Calibri" w:hAnsi="Calibri" w:eastAsia="宋体" w:cs="Times New Roman"/>
                <w:sz w:val="28"/>
                <w:szCs w:val="28"/>
              </w:rPr>
            </w:pPr>
          </w:p>
        </w:tc>
      </w:tr>
      <w:tr w14:paraId="01620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480" w:type="pct"/>
            <w:vAlign w:val="center"/>
          </w:tcPr>
          <w:p w14:paraId="73ED8567">
            <w:pPr>
              <w:spacing w:line="360" w:lineRule="auto"/>
              <w:jc w:val="center"/>
              <w:rPr>
                <w:rFonts w:ascii="Calibri" w:hAnsi="Calibri" w:eastAsia="宋体" w:cs="Times New Roman"/>
                <w:sz w:val="24"/>
              </w:rPr>
            </w:pPr>
          </w:p>
        </w:tc>
        <w:tc>
          <w:tcPr>
            <w:tcW w:w="606" w:type="pct"/>
            <w:vAlign w:val="center"/>
          </w:tcPr>
          <w:p w14:paraId="04CF4F9B">
            <w:pPr>
              <w:spacing w:line="360" w:lineRule="auto"/>
              <w:jc w:val="center"/>
              <w:rPr>
                <w:rFonts w:ascii="Calibri" w:hAnsi="Calibri" w:eastAsia="宋体" w:cs="Times New Roman"/>
                <w:sz w:val="28"/>
                <w:szCs w:val="28"/>
              </w:rPr>
            </w:pPr>
          </w:p>
        </w:tc>
        <w:tc>
          <w:tcPr>
            <w:tcW w:w="820" w:type="pct"/>
            <w:vAlign w:val="center"/>
          </w:tcPr>
          <w:p w14:paraId="7F890F57">
            <w:pPr>
              <w:spacing w:line="360" w:lineRule="auto"/>
              <w:jc w:val="center"/>
              <w:rPr>
                <w:rFonts w:ascii="Calibri" w:hAnsi="Calibri" w:eastAsia="宋体" w:cs="Times New Roman"/>
                <w:sz w:val="28"/>
                <w:szCs w:val="28"/>
              </w:rPr>
            </w:pPr>
          </w:p>
        </w:tc>
        <w:tc>
          <w:tcPr>
            <w:tcW w:w="793" w:type="pct"/>
            <w:tcBorders>
              <w:right w:val="single" w:color="auto" w:sz="4" w:space="0"/>
            </w:tcBorders>
            <w:vAlign w:val="center"/>
          </w:tcPr>
          <w:p w14:paraId="3E24C3DA">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4727CA91">
            <w:pPr>
              <w:spacing w:line="360" w:lineRule="auto"/>
              <w:jc w:val="center"/>
              <w:rPr>
                <w:rFonts w:ascii="Calibri" w:hAnsi="Calibri" w:eastAsia="宋体" w:cs="Times New Roman"/>
                <w:sz w:val="28"/>
                <w:szCs w:val="28"/>
              </w:rPr>
            </w:pPr>
          </w:p>
        </w:tc>
        <w:tc>
          <w:tcPr>
            <w:tcW w:w="1414" w:type="pct"/>
            <w:tcBorders>
              <w:right w:val="single" w:color="auto" w:sz="4" w:space="0"/>
            </w:tcBorders>
            <w:vAlign w:val="center"/>
          </w:tcPr>
          <w:p w14:paraId="326E4951">
            <w:pPr>
              <w:spacing w:line="360" w:lineRule="auto"/>
              <w:jc w:val="center"/>
              <w:rPr>
                <w:rFonts w:ascii="Calibri" w:hAnsi="Calibri" w:eastAsia="宋体" w:cs="Times New Roman"/>
                <w:sz w:val="28"/>
                <w:szCs w:val="28"/>
              </w:rPr>
            </w:pPr>
          </w:p>
        </w:tc>
      </w:tr>
      <w:tr w14:paraId="25EA9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480" w:type="pct"/>
            <w:vAlign w:val="center"/>
          </w:tcPr>
          <w:p w14:paraId="43B4C2FD">
            <w:pPr>
              <w:spacing w:line="360" w:lineRule="auto"/>
              <w:jc w:val="center"/>
              <w:rPr>
                <w:rFonts w:ascii="Calibri" w:hAnsi="Calibri" w:eastAsia="宋体" w:cs="Times New Roman"/>
                <w:sz w:val="24"/>
              </w:rPr>
            </w:pPr>
          </w:p>
        </w:tc>
        <w:tc>
          <w:tcPr>
            <w:tcW w:w="606" w:type="pct"/>
            <w:vAlign w:val="center"/>
          </w:tcPr>
          <w:p w14:paraId="7A1D609A">
            <w:pPr>
              <w:spacing w:line="360" w:lineRule="auto"/>
              <w:jc w:val="center"/>
              <w:rPr>
                <w:rFonts w:ascii="Calibri" w:hAnsi="Calibri" w:eastAsia="宋体" w:cs="Times New Roman"/>
                <w:sz w:val="28"/>
                <w:szCs w:val="28"/>
              </w:rPr>
            </w:pPr>
          </w:p>
        </w:tc>
        <w:tc>
          <w:tcPr>
            <w:tcW w:w="820" w:type="pct"/>
            <w:vAlign w:val="center"/>
          </w:tcPr>
          <w:p w14:paraId="27F0575C">
            <w:pPr>
              <w:spacing w:line="360" w:lineRule="auto"/>
              <w:jc w:val="center"/>
              <w:rPr>
                <w:rFonts w:ascii="Calibri" w:hAnsi="Calibri" w:eastAsia="宋体" w:cs="Times New Roman"/>
                <w:sz w:val="28"/>
                <w:szCs w:val="28"/>
              </w:rPr>
            </w:pPr>
          </w:p>
        </w:tc>
        <w:tc>
          <w:tcPr>
            <w:tcW w:w="793" w:type="pct"/>
            <w:tcBorders>
              <w:right w:val="single" w:color="auto" w:sz="4" w:space="0"/>
            </w:tcBorders>
            <w:vAlign w:val="center"/>
          </w:tcPr>
          <w:p w14:paraId="0D2DC5FB">
            <w:pPr>
              <w:spacing w:line="360" w:lineRule="auto"/>
              <w:jc w:val="center"/>
              <w:rPr>
                <w:rFonts w:ascii="Calibri" w:hAnsi="Calibri" w:eastAsia="宋体" w:cs="Times New Roman"/>
                <w:sz w:val="28"/>
                <w:szCs w:val="28"/>
              </w:rPr>
            </w:pPr>
          </w:p>
        </w:tc>
        <w:tc>
          <w:tcPr>
            <w:tcW w:w="884" w:type="pct"/>
            <w:tcBorders>
              <w:right w:val="single" w:color="auto" w:sz="4" w:space="0"/>
            </w:tcBorders>
            <w:vAlign w:val="center"/>
          </w:tcPr>
          <w:p w14:paraId="1A90BCE6">
            <w:pPr>
              <w:spacing w:line="360" w:lineRule="auto"/>
              <w:jc w:val="center"/>
              <w:rPr>
                <w:rFonts w:ascii="Calibri" w:hAnsi="Calibri" w:eastAsia="宋体" w:cs="Times New Roman"/>
                <w:sz w:val="28"/>
                <w:szCs w:val="28"/>
              </w:rPr>
            </w:pPr>
          </w:p>
        </w:tc>
        <w:tc>
          <w:tcPr>
            <w:tcW w:w="1414" w:type="pct"/>
            <w:tcBorders>
              <w:right w:val="single" w:color="auto" w:sz="4" w:space="0"/>
            </w:tcBorders>
            <w:vAlign w:val="center"/>
          </w:tcPr>
          <w:p w14:paraId="38820C26">
            <w:pPr>
              <w:spacing w:line="360" w:lineRule="auto"/>
              <w:jc w:val="center"/>
              <w:rPr>
                <w:rFonts w:ascii="Calibri" w:hAnsi="Calibri" w:eastAsia="宋体" w:cs="Times New Roman"/>
                <w:sz w:val="28"/>
                <w:szCs w:val="28"/>
              </w:rPr>
            </w:pPr>
          </w:p>
        </w:tc>
      </w:tr>
    </w:tbl>
    <w:p w14:paraId="4C925165">
      <w:pPr>
        <w:pStyle w:val="12"/>
        <w:ind w:firstLine="0" w:firstLineChars="0"/>
        <w:jc w:val="center"/>
        <w:rPr>
          <w:rFonts w:ascii="宋体" w:hAnsi="宋体" w:eastAsia="宋体" w:cs="宋体"/>
          <w:b/>
        </w:rPr>
      </w:pPr>
      <w:r>
        <w:rPr>
          <w:rFonts w:hint="eastAsia" w:ascii="宋体" w:hAnsi="宋体" w:eastAsia="宋体" w:cs="宋体"/>
          <w:b/>
        </w:rPr>
        <w:t>能耗和主要排放信息</w:t>
      </w:r>
    </w:p>
    <w:tbl>
      <w:tblPr>
        <w:tblStyle w:val="2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94"/>
        <w:gridCol w:w="828"/>
        <w:gridCol w:w="2562"/>
        <w:gridCol w:w="3138"/>
      </w:tblGrid>
      <w:tr w14:paraId="06D84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5000" w:type="pct"/>
            <w:gridSpan w:val="4"/>
            <w:tcBorders>
              <w:right w:val="single" w:color="auto" w:sz="4" w:space="0"/>
            </w:tcBorders>
            <w:vAlign w:val="center"/>
          </w:tcPr>
          <w:p w14:paraId="029A0F22">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该过程能源消耗</w:t>
            </w:r>
          </w:p>
        </w:tc>
      </w:tr>
      <w:tr w14:paraId="0421F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3B4267B0">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能源类型</w:t>
            </w:r>
          </w:p>
        </w:tc>
        <w:tc>
          <w:tcPr>
            <w:tcW w:w="486" w:type="pct"/>
            <w:tcBorders>
              <w:right w:val="single" w:color="auto" w:sz="4" w:space="0"/>
            </w:tcBorders>
            <w:vAlign w:val="center"/>
          </w:tcPr>
          <w:p w14:paraId="3C9F0EA5">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单位</w:t>
            </w:r>
          </w:p>
        </w:tc>
        <w:tc>
          <w:tcPr>
            <w:tcW w:w="1503" w:type="pct"/>
            <w:tcBorders>
              <w:right w:val="single" w:color="auto" w:sz="4" w:space="0"/>
            </w:tcBorders>
            <w:vAlign w:val="center"/>
          </w:tcPr>
          <w:p w14:paraId="44B4D536">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功能单位消耗量</w:t>
            </w:r>
          </w:p>
        </w:tc>
        <w:tc>
          <w:tcPr>
            <w:tcW w:w="1838" w:type="pct"/>
            <w:tcBorders>
              <w:right w:val="single" w:color="auto" w:sz="4" w:space="0"/>
            </w:tcBorders>
            <w:vAlign w:val="center"/>
          </w:tcPr>
          <w:p w14:paraId="6F381A2E">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低位发热量（GJ/单位）</w:t>
            </w:r>
          </w:p>
        </w:tc>
      </w:tr>
      <w:tr w14:paraId="41F69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51DFE581">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（例）外购电力</w:t>
            </w:r>
          </w:p>
        </w:tc>
        <w:tc>
          <w:tcPr>
            <w:tcW w:w="486" w:type="pct"/>
            <w:tcBorders>
              <w:right w:val="single" w:color="auto" w:sz="4" w:space="0"/>
            </w:tcBorders>
            <w:vAlign w:val="center"/>
          </w:tcPr>
          <w:p w14:paraId="0C0F816C">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kWh</w:t>
            </w:r>
          </w:p>
        </w:tc>
        <w:tc>
          <w:tcPr>
            <w:tcW w:w="1503" w:type="pct"/>
            <w:tcBorders>
              <w:right w:val="single" w:color="auto" w:sz="4" w:space="0"/>
            </w:tcBorders>
            <w:vAlign w:val="center"/>
          </w:tcPr>
          <w:p w14:paraId="51F3AE7A">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w:t>
            </w:r>
          </w:p>
        </w:tc>
        <w:tc>
          <w:tcPr>
            <w:tcW w:w="1838" w:type="pct"/>
            <w:tcBorders>
              <w:right w:val="single" w:color="auto" w:sz="4" w:space="0"/>
            </w:tcBorders>
            <w:vAlign w:val="center"/>
          </w:tcPr>
          <w:p w14:paraId="79A182D0">
            <w:pPr>
              <w:spacing w:line="360" w:lineRule="auto"/>
              <w:jc w:val="center"/>
              <w:rPr>
                <w:rFonts w:ascii="Times New Roman" w:hAnsi="Times New Roman" w:eastAsia="方正仿宋_GB2312" w:cs="Times New Roman"/>
                <w:kern w:val="0"/>
                <w:szCs w:val="21"/>
              </w:rPr>
            </w:pPr>
          </w:p>
        </w:tc>
      </w:tr>
      <w:tr w14:paraId="79D3D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4CB29F80">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776D96F3">
            <w:pPr>
              <w:spacing w:line="360" w:lineRule="auto"/>
              <w:jc w:val="center"/>
              <w:rPr>
                <w:rFonts w:ascii="Calibri" w:hAnsi="Calibri" w:eastAsia="宋体" w:cs="Times New Roman"/>
                <w:sz w:val="28"/>
                <w:szCs w:val="28"/>
              </w:rPr>
            </w:pPr>
          </w:p>
        </w:tc>
        <w:tc>
          <w:tcPr>
            <w:tcW w:w="1503" w:type="pct"/>
            <w:tcBorders>
              <w:right w:val="single" w:color="auto" w:sz="4" w:space="0"/>
            </w:tcBorders>
            <w:vAlign w:val="center"/>
          </w:tcPr>
          <w:p w14:paraId="50E5A385">
            <w:pPr>
              <w:spacing w:line="360" w:lineRule="auto"/>
              <w:jc w:val="center"/>
              <w:rPr>
                <w:rFonts w:ascii="Calibri" w:hAnsi="Calibri" w:eastAsia="宋体" w:cs="Times New Roman"/>
                <w:sz w:val="28"/>
                <w:szCs w:val="28"/>
              </w:rPr>
            </w:pPr>
          </w:p>
        </w:tc>
        <w:tc>
          <w:tcPr>
            <w:tcW w:w="1838" w:type="pct"/>
            <w:tcBorders>
              <w:right w:val="single" w:color="auto" w:sz="4" w:space="0"/>
            </w:tcBorders>
            <w:vAlign w:val="center"/>
          </w:tcPr>
          <w:p w14:paraId="6005D619">
            <w:pPr>
              <w:spacing w:line="360" w:lineRule="auto"/>
              <w:jc w:val="center"/>
              <w:rPr>
                <w:rFonts w:ascii="Calibri" w:hAnsi="Calibri" w:eastAsia="宋体" w:cs="Times New Roman"/>
                <w:sz w:val="28"/>
                <w:szCs w:val="28"/>
              </w:rPr>
            </w:pPr>
          </w:p>
        </w:tc>
      </w:tr>
      <w:tr w14:paraId="1A800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7562BA29">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26100BB1">
            <w:pPr>
              <w:spacing w:line="360" w:lineRule="auto"/>
              <w:jc w:val="center"/>
              <w:rPr>
                <w:rFonts w:ascii="Calibri" w:hAnsi="Calibri" w:eastAsia="宋体" w:cs="Times New Roman"/>
                <w:sz w:val="28"/>
                <w:szCs w:val="28"/>
              </w:rPr>
            </w:pPr>
          </w:p>
        </w:tc>
        <w:tc>
          <w:tcPr>
            <w:tcW w:w="1503" w:type="pct"/>
            <w:tcBorders>
              <w:right w:val="single" w:color="auto" w:sz="4" w:space="0"/>
            </w:tcBorders>
            <w:vAlign w:val="center"/>
          </w:tcPr>
          <w:p w14:paraId="09B54EA8">
            <w:pPr>
              <w:spacing w:line="360" w:lineRule="auto"/>
              <w:jc w:val="center"/>
              <w:rPr>
                <w:rFonts w:ascii="Calibri" w:hAnsi="Calibri" w:eastAsia="宋体" w:cs="Times New Roman"/>
                <w:sz w:val="28"/>
                <w:szCs w:val="28"/>
              </w:rPr>
            </w:pPr>
          </w:p>
        </w:tc>
        <w:tc>
          <w:tcPr>
            <w:tcW w:w="1838" w:type="pct"/>
            <w:tcBorders>
              <w:right w:val="single" w:color="auto" w:sz="4" w:space="0"/>
            </w:tcBorders>
            <w:vAlign w:val="center"/>
          </w:tcPr>
          <w:p w14:paraId="1E29185E">
            <w:pPr>
              <w:spacing w:line="360" w:lineRule="auto"/>
              <w:jc w:val="center"/>
              <w:rPr>
                <w:rFonts w:ascii="Calibri" w:hAnsi="Calibri" w:eastAsia="宋体" w:cs="Times New Roman"/>
                <w:sz w:val="28"/>
                <w:szCs w:val="28"/>
              </w:rPr>
            </w:pPr>
          </w:p>
        </w:tc>
      </w:tr>
      <w:tr w14:paraId="1CC52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7883B5DE">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3B193075">
            <w:pPr>
              <w:spacing w:line="360" w:lineRule="auto"/>
              <w:jc w:val="center"/>
              <w:rPr>
                <w:rFonts w:ascii="Calibri" w:hAnsi="Calibri" w:eastAsia="宋体" w:cs="Times New Roman"/>
                <w:sz w:val="28"/>
                <w:szCs w:val="28"/>
              </w:rPr>
            </w:pPr>
          </w:p>
        </w:tc>
        <w:tc>
          <w:tcPr>
            <w:tcW w:w="1503" w:type="pct"/>
            <w:tcBorders>
              <w:right w:val="single" w:color="auto" w:sz="4" w:space="0"/>
            </w:tcBorders>
            <w:vAlign w:val="center"/>
          </w:tcPr>
          <w:p w14:paraId="70F30936">
            <w:pPr>
              <w:spacing w:line="360" w:lineRule="auto"/>
              <w:jc w:val="center"/>
              <w:rPr>
                <w:rFonts w:ascii="Calibri" w:hAnsi="Calibri" w:eastAsia="宋体" w:cs="Times New Roman"/>
                <w:sz w:val="28"/>
                <w:szCs w:val="28"/>
              </w:rPr>
            </w:pPr>
          </w:p>
        </w:tc>
        <w:tc>
          <w:tcPr>
            <w:tcW w:w="1838" w:type="pct"/>
            <w:tcBorders>
              <w:right w:val="single" w:color="auto" w:sz="4" w:space="0"/>
            </w:tcBorders>
            <w:vAlign w:val="center"/>
          </w:tcPr>
          <w:p w14:paraId="4A3D9A00">
            <w:pPr>
              <w:spacing w:line="360" w:lineRule="auto"/>
              <w:jc w:val="center"/>
              <w:rPr>
                <w:rFonts w:ascii="Calibri" w:hAnsi="Calibri" w:eastAsia="宋体" w:cs="Times New Roman"/>
                <w:sz w:val="28"/>
                <w:szCs w:val="28"/>
              </w:rPr>
            </w:pPr>
          </w:p>
        </w:tc>
      </w:tr>
      <w:tr w14:paraId="1A157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3505C6B2">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6348A2A4">
            <w:pPr>
              <w:spacing w:line="360" w:lineRule="auto"/>
              <w:jc w:val="center"/>
              <w:rPr>
                <w:rFonts w:ascii="Calibri" w:hAnsi="Calibri" w:eastAsia="宋体" w:cs="Times New Roman"/>
                <w:sz w:val="28"/>
                <w:szCs w:val="28"/>
              </w:rPr>
            </w:pPr>
          </w:p>
        </w:tc>
        <w:tc>
          <w:tcPr>
            <w:tcW w:w="1503" w:type="pct"/>
            <w:tcBorders>
              <w:right w:val="single" w:color="auto" w:sz="4" w:space="0"/>
            </w:tcBorders>
            <w:vAlign w:val="center"/>
          </w:tcPr>
          <w:p w14:paraId="4F295B8F">
            <w:pPr>
              <w:spacing w:line="360" w:lineRule="auto"/>
              <w:jc w:val="center"/>
              <w:rPr>
                <w:rFonts w:ascii="Calibri" w:hAnsi="Calibri" w:eastAsia="宋体" w:cs="Times New Roman"/>
                <w:sz w:val="28"/>
                <w:szCs w:val="28"/>
              </w:rPr>
            </w:pPr>
          </w:p>
        </w:tc>
        <w:tc>
          <w:tcPr>
            <w:tcW w:w="1838" w:type="pct"/>
            <w:tcBorders>
              <w:right w:val="single" w:color="auto" w:sz="4" w:space="0"/>
            </w:tcBorders>
            <w:vAlign w:val="center"/>
          </w:tcPr>
          <w:p w14:paraId="10379489">
            <w:pPr>
              <w:spacing w:line="360" w:lineRule="auto"/>
              <w:jc w:val="center"/>
              <w:rPr>
                <w:rFonts w:ascii="Calibri" w:hAnsi="Calibri" w:eastAsia="宋体" w:cs="Times New Roman"/>
                <w:sz w:val="28"/>
                <w:szCs w:val="28"/>
              </w:rPr>
            </w:pPr>
          </w:p>
        </w:tc>
      </w:tr>
      <w:tr w14:paraId="5CF40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277C1152">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391A11DD">
            <w:pPr>
              <w:spacing w:line="360" w:lineRule="auto"/>
              <w:jc w:val="center"/>
              <w:rPr>
                <w:rFonts w:ascii="Calibri" w:hAnsi="Calibri" w:eastAsia="宋体" w:cs="Times New Roman"/>
                <w:sz w:val="28"/>
                <w:szCs w:val="28"/>
              </w:rPr>
            </w:pPr>
          </w:p>
        </w:tc>
        <w:tc>
          <w:tcPr>
            <w:tcW w:w="1503" w:type="pct"/>
            <w:tcBorders>
              <w:right w:val="single" w:color="auto" w:sz="4" w:space="0"/>
            </w:tcBorders>
            <w:vAlign w:val="center"/>
          </w:tcPr>
          <w:p w14:paraId="10A42CC7">
            <w:pPr>
              <w:spacing w:line="360" w:lineRule="auto"/>
              <w:jc w:val="center"/>
              <w:rPr>
                <w:rFonts w:ascii="Calibri" w:hAnsi="Calibri" w:eastAsia="宋体" w:cs="Times New Roman"/>
                <w:sz w:val="28"/>
                <w:szCs w:val="28"/>
              </w:rPr>
            </w:pPr>
          </w:p>
        </w:tc>
        <w:tc>
          <w:tcPr>
            <w:tcW w:w="1838" w:type="pct"/>
            <w:tcBorders>
              <w:right w:val="single" w:color="auto" w:sz="4" w:space="0"/>
            </w:tcBorders>
            <w:vAlign w:val="center"/>
          </w:tcPr>
          <w:p w14:paraId="64AC27C8">
            <w:pPr>
              <w:spacing w:line="360" w:lineRule="auto"/>
              <w:jc w:val="center"/>
              <w:rPr>
                <w:rFonts w:ascii="Calibri" w:hAnsi="Calibri" w:eastAsia="宋体" w:cs="Times New Roman"/>
                <w:sz w:val="28"/>
                <w:szCs w:val="28"/>
              </w:rPr>
            </w:pPr>
          </w:p>
        </w:tc>
      </w:tr>
      <w:tr w14:paraId="06083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208A5ED1">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499228B5">
            <w:pPr>
              <w:spacing w:line="360" w:lineRule="auto"/>
              <w:jc w:val="center"/>
              <w:rPr>
                <w:rFonts w:ascii="Calibri" w:hAnsi="Calibri" w:eastAsia="宋体" w:cs="Times New Roman"/>
                <w:sz w:val="28"/>
                <w:szCs w:val="28"/>
              </w:rPr>
            </w:pPr>
          </w:p>
        </w:tc>
        <w:tc>
          <w:tcPr>
            <w:tcW w:w="1503" w:type="pct"/>
            <w:tcBorders>
              <w:right w:val="single" w:color="auto" w:sz="4" w:space="0"/>
            </w:tcBorders>
            <w:vAlign w:val="center"/>
          </w:tcPr>
          <w:p w14:paraId="2467BC45">
            <w:pPr>
              <w:spacing w:line="360" w:lineRule="auto"/>
              <w:jc w:val="center"/>
              <w:rPr>
                <w:rFonts w:ascii="Calibri" w:hAnsi="Calibri" w:eastAsia="宋体" w:cs="Times New Roman"/>
                <w:sz w:val="28"/>
                <w:szCs w:val="28"/>
              </w:rPr>
            </w:pPr>
          </w:p>
        </w:tc>
        <w:tc>
          <w:tcPr>
            <w:tcW w:w="1838" w:type="pct"/>
            <w:tcBorders>
              <w:right w:val="single" w:color="auto" w:sz="4" w:space="0"/>
            </w:tcBorders>
            <w:vAlign w:val="center"/>
          </w:tcPr>
          <w:p w14:paraId="076056E3">
            <w:pPr>
              <w:spacing w:line="360" w:lineRule="auto"/>
              <w:jc w:val="center"/>
              <w:rPr>
                <w:rFonts w:ascii="Calibri" w:hAnsi="Calibri" w:eastAsia="宋体" w:cs="Times New Roman"/>
                <w:sz w:val="28"/>
                <w:szCs w:val="28"/>
              </w:rPr>
            </w:pPr>
          </w:p>
        </w:tc>
      </w:tr>
      <w:tr w14:paraId="4D491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5000" w:type="pct"/>
            <w:gridSpan w:val="4"/>
            <w:tcBorders>
              <w:right w:val="single" w:color="auto" w:sz="4" w:space="0"/>
            </w:tcBorders>
            <w:vAlign w:val="center"/>
          </w:tcPr>
          <w:p w14:paraId="75E8FC21">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该过程主要排放</w:t>
            </w:r>
          </w:p>
        </w:tc>
      </w:tr>
      <w:tr w14:paraId="28789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19BA3E74">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排放种类</w:t>
            </w:r>
          </w:p>
        </w:tc>
        <w:tc>
          <w:tcPr>
            <w:tcW w:w="486" w:type="pct"/>
            <w:tcBorders>
              <w:right w:val="single" w:color="auto" w:sz="4" w:space="0"/>
            </w:tcBorders>
            <w:vAlign w:val="center"/>
          </w:tcPr>
          <w:p w14:paraId="19033FB6">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单位</w:t>
            </w:r>
          </w:p>
        </w:tc>
        <w:tc>
          <w:tcPr>
            <w:tcW w:w="3342" w:type="pct"/>
            <w:gridSpan w:val="2"/>
            <w:tcBorders>
              <w:right w:val="single" w:color="auto" w:sz="4" w:space="0"/>
            </w:tcBorders>
            <w:vAlign w:val="center"/>
          </w:tcPr>
          <w:p w14:paraId="1128DC7B">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功能单位输出量</w:t>
            </w:r>
          </w:p>
        </w:tc>
      </w:tr>
      <w:tr w14:paraId="2D9C7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26BBDB13">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（例）二氧化硫</w:t>
            </w:r>
          </w:p>
        </w:tc>
        <w:tc>
          <w:tcPr>
            <w:tcW w:w="486" w:type="pct"/>
            <w:tcBorders>
              <w:right w:val="single" w:color="auto" w:sz="4" w:space="0"/>
            </w:tcBorders>
            <w:vAlign w:val="center"/>
          </w:tcPr>
          <w:p w14:paraId="6301D1C0">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kg</w:t>
            </w:r>
          </w:p>
        </w:tc>
        <w:tc>
          <w:tcPr>
            <w:tcW w:w="3342" w:type="pct"/>
            <w:gridSpan w:val="2"/>
            <w:tcBorders>
              <w:right w:val="single" w:color="auto" w:sz="4" w:space="0"/>
            </w:tcBorders>
            <w:vAlign w:val="center"/>
          </w:tcPr>
          <w:p w14:paraId="3EA521B4">
            <w:pPr>
              <w:spacing w:line="360" w:lineRule="auto"/>
              <w:jc w:val="center"/>
              <w:rPr>
                <w:rFonts w:ascii="Times New Roman" w:hAnsi="Times New Roman" w:eastAsia="方正仿宋_GB2312" w:cs="Times New Roman"/>
                <w:kern w:val="0"/>
                <w:szCs w:val="21"/>
              </w:rPr>
            </w:pPr>
            <w:r>
              <w:rPr>
                <w:rFonts w:hint="eastAsia" w:ascii="Times New Roman" w:hAnsi="Times New Roman" w:eastAsia="方正仿宋_GB2312" w:cs="Times New Roman"/>
                <w:kern w:val="0"/>
                <w:szCs w:val="21"/>
              </w:rPr>
              <w:t>-</w:t>
            </w:r>
          </w:p>
        </w:tc>
      </w:tr>
      <w:tr w14:paraId="673BC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1DA56FE6">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3F5BFB82">
            <w:pPr>
              <w:spacing w:line="360" w:lineRule="auto"/>
              <w:jc w:val="center"/>
              <w:rPr>
                <w:rFonts w:ascii="Calibri" w:hAnsi="Calibri" w:eastAsia="宋体" w:cs="Times New Roman"/>
                <w:sz w:val="28"/>
                <w:szCs w:val="28"/>
              </w:rPr>
            </w:pPr>
          </w:p>
        </w:tc>
        <w:tc>
          <w:tcPr>
            <w:tcW w:w="3342" w:type="pct"/>
            <w:gridSpan w:val="2"/>
            <w:tcBorders>
              <w:right w:val="single" w:color="auto" w:sz="4" w:space="0"/>
            </w:tcBorders>
            <w:vAlign w:val="center"/>
          </w:tcPr>
          <w:p w14:paraId="76212EF7">
            <w:pPr>
              <w:spacing w:line="360" w:lineRule="auto"/>
              <w:jc w:val="center"/>
              <w:rPr>
                <w:rFonts w:ascii="Calibri" w:hAnsi="Calibri" w:eastAsia="宋体" w:cs="Times New Roman"/>
                <w:sz w:val="28"/>
                <w:szCs w:val="28"/>
              </w:rPr>
            </w:pPr>
          </w:p>
        </w:tc>
      </w:tr>
      <w:tr w14:paraId="5CE3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330C45F1">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3F088911">
            <w:pPr>
              <w:spacing w:line="360" w:lineRule="auto"/>
              <w:jc w:val="center"/>
              <w:rPr>
                <w:rFonts w:ascii="Calibri" w:hAnsi="Calibri" w:eastAsia="宋体" w:cs="Times New Roman"/>
                <w:sz w:val="28"/>
                <w:szCs w:val="28"/>
              </w:rPr>
            </w:pPr>
          </w:p>
        </w:tc>
        <w:tc>
          <w:tcPr>
            <w:tcW w:w="3342" w:type="pct"/>
            <w:gridSpan w:val="2"/>
            <w:tcBorders>
              <w:right w:val="single" w:color="auto" w:sz="4" w:space="0"/>
            </w:tcBorders>
            <w:vAlign w:val="center"/>
          </w:tcPr>
          <w:p w14:paraId="5DDFD7F5">
            <w:pPr>
              <w:spacing w:line="360" w:lineRule="auto"/>
              <w:jc w:val="center"/>
              <w:rPr>
                <w:rFonts w:ascii="Calibri" w:hAnsi="Calibri" w:eastAsia="宋体" w:cs="Times New Roman"/>
                <w:sz w:val="28"/>
                <w:szCs w:val="28"/>
              </w:rPr>
            </w:pPr>
          </w:p>
        </w:tc>
      </w:tr>
      <w:tr w14:paraId="59183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208B433F">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0244730C">
            <w:pPr>
              <w:spacing w:line="360" w:lineRule="auto"/>
              <w:jc w:val="center"/>
              <w:rPr>
                <w:rFonts w:ascii="Calibri" w:hAnsi="Calibri" w:eastAsia="宋体" w:cs="Times New Roman"/>
                <w:sz w:val="28"/>
                <w:szCs w:val="28"/>
              </w:rPr>
            </w:pPr>
          </w:p>
        </w:tc>
        <w:tc>
          <w:tcPr>
            <w:tcW w:w="3342" w:type="pct"/>
            <w:gridSpan w:val="2"/>
            <w:tcBorders>
              <w:right w:val="single" w:color="auto" w:sz="4" w:space="0"/>
            </w:tcBorders>
            <w:vAlign w:val="center"/>
          </w:tcPr>
          <w:p w14:paraId="25EBCEC7">
            <w:pPr>
              <w:spacing w:line="360" w:lineRule="auto"/>
              <w:jc w:val="center"/>
              <w:rPr>
                <w:rFonts w:ascii="Calibri" w:hAnsi="Calibri" w:eastAsia="宋体" w:cs="Times New Roman"/>
                <w:sz w:val="28"/>
                <w:szCs w:val="28"/>
              </w:rPr>
            </w:pPr>
          </w:p>
        </w:tc>
      </w:tr>
      <w:tr w14:paraId="5D705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4471EEFE">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01C3444E">
            <w:pPr>
              <w:spacing w:line="360" w:lineRule="auto"/>
              <w:jc w:val="center"/>
              <w:rPr>
                <w:rFonts w:ascii="Calibri" w:hAnsi="Calibri" w:eastAsia="宋体" w:cs="Times New Roman"/>
                <w:sz w:val="28"/>
                <w:szCs w:val="28"/>
              </w:rPr>
            </w:pPr>
          </w:p>
        </w:tc>
        <w:tc>
          <w:tcPr>
            <w:tcW w:w="3342" w:type="pct"/>
            <w:gridSpan w:val="2"/>
            <w:tcBorders>
              <w:right w:val="single" w:color="auto" w:sz="4" w:space="0"/>
            </w:tcBorders>
            <w:vAlign w:val="center"/>
          </w:tcPr>
          <w:p w14:paraId="370D7AC3">
            <w:pPr>
              <w:spacing w:line="360" w:lineRule="auto"/>
              <w:jc w:val="center"/>
              <w:rPr>
                <w:rFonts w:ascii="Calibri" w:hAnsi="Calibri" w:eastAsia="宋体" w:cs="Times New Roman"/>
                <w:sz w:val="28"/>
                <w:szCs w:val="28"/>
              </w:rPr>
            </w:pPr>
          </w:p>
        </w:tc>
      </w:tr>
      <w:tr w14:paraId="3FA80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300EB810">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4B0DA88A">
            <w:pPr>
              <w:spacing w:line="360" w:lineRule="auto"/>
              <w:jc w:val="center"/>
              <w:rPr>
                <w:rFonts w:ascii="Calibri" w:hAnsi="Calibri" w:eastAsia="宋体" w:cs="Times New Roman"/>
                <w:sz w:val="28"/>
                <w:szCs w:val="28"/>
              </w:rPr>
            </w:pPr>
          </w:p>
        </w:tc>
        <w:tc>
          <w:tcPr>
            <w:tcW w:w="3342" w:type="pct"/>
            <w:gridSpan w:val="2"/>
            <w:tcBorders>
              <w:right w:val="single" w:color="auto" w:sz="4" w:space="0"/>
            </w:tcBorders>
            <w:vAlign w:val="center"/>
          </w:tcPr>
          <w:p w14:paraId="31B2A378">
            <w:pPr>
              <w:spacing w:line="360" w:lineRule="auto"/>
              <w:jc w:val="center"/>
              <w:rPr>
                <w:rFonts w:ascii="Calibri" w:hAnsi="Calibri" w:eastAsia="宋体" w:cs="Times New Roman"/>
                <w:sz w:val="28"/>
                <w:szCs w:val="28"/>
              </w:rPr>
            </w:pPr>
          </w:p>
        </w:tc>
      </w:tr>
      <w:tr w14:paraId="340F7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70" w:type="pct"/>
            <w:vAlign w:val="center"/>
          </w:tcPr>
          <w:p w14:paraId="17482FF6">
            <w:pPr>
              <w:spacing w:line="360" w:lineRule="auto"/>
              <w:jc w:val="center"/>
              <w:rPr>
                <w:rFonts w:ascii="Calibri" w:hAnsi="Calibri" w:eastAsia="宋体" w:cs="Times New Roman"/>
                <w:sz w:val="28"/>
                <w:szCs w:val="28"/>
              </w:rPr>
            </w:pPr>
          </w:p>
        </w:tc>
        <w:tc>
          <w:tcPr>
            <w:tcW w:w="486" w:type="pct"/>
            <w:tcBorders>
              <w:right w:val="single" w:color="auto" w:sz="4" w:space="0"/>
            </w:tcBorders>
            <w:vAlign w:val="center"/>
          </w:tcPr>
          <w:p w14:paraId="6989430C">
            <w:pPr>
              <w:spacing w:line="360" w:lineRule="auto"/>
              <w:jc w:val="center"/>
              <w:rPr>
                <w:rFonts w:ascii="Calibri" w:hAnsi="Calibri" w:eastAsia="宋体" w:cs="Times New Roman"/>
                <w:sz w:val="28"/>
                <w:szCs w:val="28"/>
              </w:rPr>
            </w:pPr>
          </w:p>
        </w:tc>
        <w:tc>
          <w:tcPr>
            <w:tcW w:w="3342" w:type="pct"/>
            <w:gridSpan w:val="2"/>
            <w:tcBorders>
              <w:right w:val="single" w:color="auto" w:sz="4" w:space="0"/>
            </w:tcBorders>
            <w:vAlign w:val="center"/>
          </w:tcPr>
          <w:p w14:paraId="19047EF9">
            <w:pPr>
              <w:spacing w:line="360" w:lineRule="auto"/>
              <w:jc w:val="center"/>
              <w:rPr>
                <w:rFonts w:ascii="Calibri" w:hAnsi="Calibri" w:eastAsia="宋体" w:cs="Times New Roman"/>
                <w:sz w:val="28"/>
                <w:szCs w:val="28"/>
              </w:rPr>
            </w:pPr>
          </w:p>
        </w:tc>
      </w:tr>
    </w:tbl>
    <w:p w14:paraId="06C11804">
      <w:pPr>
        <w:pStyle w:val="3"/>
        <w:pageBreakBefore/>
        <w:spacing w:before="80"/>
        <w:ind w:firstLine="211" w:firstLineChars="100"/>
        <w:rPr>
          <w:rFonts w:ascii="宋体" w:hAnsi="宋体" w:eastAsia="宋体" w:cs="宋体"/>
          <w:b/>
          <w:bCs/>
          <w:color w:val="auto"/>
          <w:sz w:val="21"/>
          <w:szCs w:val="21"/>
          <w:highlight w:val="yellow"/>
        </w:rPr>
      </w:pPr>
      <w:bookmarkStart w:id="65" w:name="_Toc17765"/>
      <w:r>
        <w:rPr>
          <w:rFonts w:hint="eastAsia" w:ascii="宋体" w:hAnsi="宋体" w:eastAsia="宋体" w:cs="宋体"/>
          <w:b/>
          <w:bCs/>
          <w:color w:val="auto"/>
          <w:sz w:val="21"/>
          <w:szCs w:val="21"/>
        </w:rPr>
        <w:t>附录4 煤矸石制微晶玻璃碳足迹核算报告</w:t>
      </w:r>
      <w:bookmarkEnd w:id="65"/>
    </w:p>
    <w:p w14:paraId="3B3781F0">
      <w:pPr>
        <w:jc w:val="center"/>
        <w:rPr>
          <w:rFonts w:ascii="Times New Roman" w:hAnsi="Times New Roman" w:eastAsia="黑体" w:cs="Times New Roman"/>
          <w:snapToGrid w:val="0"/>
          <w:kern w:val="0"/>
          <w:sz w:val="36"/>
          <w:szCs w:val="36"/>
        </w:rPr>
      </w:pPr>
    </w:p>
    <w:p w14:paraId="2A3B00FB">
      <w:pPr>
        <w:jc w:val="center"/>
        <w:rPr>
          <w:rFonts w:ascii="Times New Roman" w:hAnsi="Times New Roman" w:eastAsia="黑体" w:cs="Times New Roman"/>
          <w:snapToGrid w:val="0"/>
          <w:kern w:val="0"/>
          <w:sz w:val="36"/>
          <w:szCs w:val="36"/>
        </w:rPr>
      </w:pPr>
    </w:p>
    <w:p w14:paraId="0288860A">
      <w:pPr>
        <w:jc w:val="center"/>
        <w:rPr>
          <w:rFonts w:ascii="Times New Roman" w:hAnsi="Times New Roman" w:eastAsia="黑体" w:cs="Times New Roman"/>
          <w:snapToGrid w:val="0"/>
          <w:kern w:val="0"/>
          <w:sz w:val="36"/>
          <w:szCs w:val="36"/>
        </w:rPr>
      </w:pPr>
    </w:p>
    <w:p w14:paraId="659F67EA">
      <w:pPr>
        <w:jc w:val="center"/>
        <w:rPr>
          <w:rFonts w:ascii="Times New Roman" w:hAnsi="Times New Roman" w:cs="Times New Roman"/>
          <w:b/>
          <w:bCs/>
          <w:sz w:val="56"/>
          <w:szCs w:val="56"/>
        </w:rPr>
      </w:pPr>
      <w:r>
        <w:rPr>
          <w:rFonts w:hint="eastAsia" w:ascii="Times New Roman" w:hAnsi="Times New Roman" w:eastAsia="黑体" w:cs="Times New Roman"/>
          <w:snapToGrid w:val="0"/>
          <w:kern w:val="0"/>
          <w:sz w:val="56"/>
          <w:szCs w:val="56"/>
        </w:rPr>
        <w:t>煤矸石制微晶玻璃</w:t>
      </w:r>
      <w:r>
        <w:rPr>
          <w:rFonts w:ascii="Times New Roman" w:hAnsi="Times New Roman" w:eastAsia="黑体" w:cs="Times New Roman"/>
          <w:snapToGrid w:val="0"/>
          <w:kern w:val="0"/>
          <w:sz w:val="56"/>
          <w:szCs w:val="56"/>
        </w:rPr>
        <w:t>生命周期评价报告</w:t>
      </w:r>
    </w:p>
    <w:p w14:paraId="5B2B99AB">
      <w:pPr>
        <w:jc w:val="left"/>
        <w:rPr>
          <w:rFonts w:ascii="Times New Roman" w:hAnsi="Times New Roman" w:eastAsia="黑体" w:cs="Times New Roman"/>
          <w:snapToGrid w:val="0"/>
          <w:kern w:val="0"/>
          <w:sz w:val="32"/>
          <w:szCs w:val="32"/>
        </w:rPr>
        <w:sectPr>
          <w:pgSz w:w="11906" w:h="16838"/>
          <w:pgMar w:top="1440" w:right="1800" w:bottom="1440" w:left="1800" w:header="851" w:footer="992" w:gutter="0"/>
          <w:cols w:space="720" w:num="1"/>
          <w:docGrid w:type="lines" w:linePitch="312" w:charSpace="0"/>
        </w:sectPr>
      </w:pPr>
    </w:p>
    <w:p w14:paraId="11628310">
      <w:pPr>
        <w:jc w:val="center"/>
        <w:rPr>
          <w:rFonts w:ascii="宋体" w:hAnsi="宋体" w:eastAsia="宋体" w:cs="宋体"/>
          <w:szCs w:val="21"/>
        </w:rPr>
      </w:pPr>
      <w:r>
        <w:rPr>
          <w:rFonts w:hint="eastAsia" w:ascii="宋体" w:hAnsi="宋体" w:eastAsia="宋体" w:cs="宋体"/>
          <w:szCs w:val="21"/>
        </w:rPr>
        <w:t>目录</w:t>
      </w:r>
    </w:p>
    <w:p w14:paraId="420332A4">
      <w:pPr>
        <w:pStyle w:val="19"/>
        <w:tabs>
          <w:tab w:val="right" w:leader="dot" w:pos="8306"/>
        </w:tabs>
        <w:rPr>
          <w:rFonts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TOC \o "1-2" \h \u </w:instrText>
      </w:r>
      <w:r>
        <w:rPr>
          <w:rFonts w:hint="eastAsia" w:ascii="宋体" w:hAnsi="宋体" w:eastAsia="宋体" w:cs="宋体"/>
          <w:szCs w:val="21"/>
        </w:rPr>
        <w:fldChar w:fldCharType="separate"/>
      </w:r>
      <w:r>
        <w:fldChar w:fldCharType="begin"/>
      </w:r>
      <w:r>
        <w:instrText xml:space="preserve"> HYPERLINK \l "_Toc5176" </w:instrText>
      </w:r>
      <w:r>
        <w:fldChar w:fldCharType="separate"/>
      </w:r>
      <w:r>
        <w:rPr>
          <w:rFonts w:hint="eastAsia" w:ascii="宋体" w:hAnsi="宋体" w:eastAsia="宋体" w:cs="宋体"/>
          <w:szCs w:val="21"/>
        </w:rPr>
        <w:t>1. 目标与范围定义</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_Toc5176 \h </w:instrText>
      </w:r>
      <w:r>
        <w:rPr>
          <w:rFonts w:hint="eastAsia" w:ascii="宋体" w:hAnsi="宋体" w:eastAsia="宋体" w:cs="宋体"/>
          <w:szCs w:val="21"/>
        </w:rPr>
        <w:fldChar w:fldCharType="separate"/>
      </w:r>
      <w:r>
        <w:rPr>
          <w:rFonts w:hint="eastAsia" w:ascii="宋体" w:hAnsi="宋体" w:eastAsia="宋体" w:cs="宋体"/>
          <w:szCs w:val="21"/>
        </w:rPr>
        <w:t>1</w:t>
      </w:r>
      <w:r>
        <w:rPr>
          <w:rFonts w:hint="eastAsia" w:ascii="宋体" w:hAnsi="宋体" w:eastAsia="宋体" w:cs="宋体"/>
          <w:szCs w:val="21"/>
        </w:rPr>
        <w:fldChar w:fldCharType="end"/>
      </w:r>
      <w:r>
        <w:rPr>
          <w:rFonts w:hint="eastAsia" w:ascii="宋体" w:hAnsi="宋体" w:eastAsia="宋体" w:cs="宋体"/>
          <w:szCs w:val="21"/>
        </w:rPr>
        <w:fldChar w:fldCharType="end"/>
      </w:r>
    </w:p>
    <w:p w14:paraId="22D4C411">
      <w:pPr>
        <w:pStyle w:val="21"/>
        <w:tabs>
          <w:tab w:val="right" w:leader="dot" w:pos="8306"/>
        </w:tabs>
        <w:rPr>
          <w:rFonts w:ascii="宋体" w:hAnsi="宋体" w:eastAsia="宋体" w:cs="宋体"/>
          <w:szCs w:val="21"/>
        </w:rPr>
      </w:pPr>
      <w:r>
        <w:fldChar w:fldCharType="begin"/>
      </w:r>
      <w:r>
        <w:instrText xml:space="preserve"> HYPERLINK \l "_Toc27090" </w:instrText>
      </w:r>
      <w:r>
        <w:fldChar w:fldCharType="separate"/>
      </w:r>
      <w:r>
        <w:rPr>
          <w:rFonts w:hint="eastAsia" w:ascii="宋体" w:hAnsi="宋体" w:eastAsia="宋体" w:cs="宋体"/>
          <w:szCs w:val="21"/>
        </w:rPr>
        <w:t>1.1. 目标定义</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_Toc27090 \h </w:instrText>
      </w:r>
      <w:r>
        <w:rPr>
          <w:rFonts w:hint="eastAsia" w:ascii="宋体" w:hAnsi="宋体" w:eastAsia="宋体" w:cs="宋体"/>
          <w:szCs w:val="21"/>
        </w:rPr>
        <w:fldChar w:fldCharType="separate"/>
      </w:r>
      <w:r>
        <w:rPr>
          <w:rFonts w:hint="eastAsia" w:ascii="宋体" w:hAnsi="宋体" w:eastAsia="宋体" w:cs="宋体"/>
          <w:szCs w:val="21"/>
        </w:rPr>
        <w:t>1</w:t>
      </w:r>
      <w:r>
        <w:rPr>
          <w:rFonts w:hint="eastAsia" w:ascii="宋体" w:hAnsi="宋体" w:eastAsia="宋体" w:cs="宋体"/>
          <w:szCs w:val="21"/>
        </w:rPr>
        <w:fldChar w:fldCharType="end"/>
      </w:r>
      <w:r>
        <w:rPr>
          <w:rFonts w:hint="eastAsia" w:ascii="宋体" w:hAnsi="宋体" w:eastAsia="宋体" w:cs="宋体"/>
          <w:szCs w:val="21"/>
        </w:rPr>
        <w:fldChar w:fldCharType="end"/>
      </w:r>
    </w:p>
    <w:p w14:paraId="51F24987">
      <w:pPr>
        <w:pStyle w:val="21"/>
        <w:tabs>
          <w:tab w:val="right" w:leader="dot" w:pos="8306"/>
        </w:tabs>
        <w:rPr>
          <w:rFonts w:ascii="宋体" w:hAnsi="宋体" w:eastAsia="宋体" w:cs="宋体"/>
          <w:szCs w:val="21"/>
        </w:rPr>
      </w:pPr>
      <w:r>
        <w:fldChar w:fldCharType="begin"/>
      </w:r>
      <w:r>
        <w:instrText xml:space="preserve"> HYPERLINK \l "_Toc14595" </w:instrText>
      </w:r>
      <w:r>
        <w:fldChar w:fldCharType="separate"/>
      </w:r>
      <w:r>
        <w:rPr>
          <w:rFonts w:hint="eastAsia" w:ascii="宋体" w:hAnsi="宋体" w:eastAsia="宋体" w:cs="宋体"/>
          <w:szCs w:val="21"/>
        </w:rPr>
        <w:t>1.2. 范围定义</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_Toc14595 \h </w:instrText>
      </w:r>
      <w:r>
        <w:rPr>
          <w:rFonts w:hint="eastAsia" w:ascii="宋体" w:hAnsi="宋体" w:eastAsia="宋体" w:cs="宋体"/>
          <w:szCs w:val="21"/>
        </w:rPr>
        <w:fldChar w:fldCharType="separate"/>
      </w:r>
      <w:r>
        <w:rPr>
          <w:rFonts w:hint="eastAsia" w:ascii="宋体" w:hAnsi="宋体" w:eastAsia="宋体" w:cs="宋体"/>
          <w:szCs w:val="21"/>
        </w:rPr>
        <w:t>1</w:t>
      </w:r>
      <w:r>
        <w:rPr>
          <w:rFonts w:hint="eastAsia" w:ascii="宋体" w:hAnsi="宋体" w:eastAsia="宋体" w:cs="宋体"/>
          <w:szCs w:val="21"/>
        </w:rPr>
        <w:fldChar w:fldCharType="end"/>
      </w:r>
      <w:r>
        <w:rPr>
          <w:rFonts w:hint="eastAsia" w:ascii="宋体" w:hAnsi="宋体" w:eastAsia="宋体" w:cs="宋体"/>
          <w:szCs w:val="21"/>
        </w:rPr>
        <w:fldChar w:fldCharType="end"/>
      </w:r>
    </w:p>
    <w:p w14:paraId="6C5E1ABA">
      <w:pPr>
        <w:pStyle w:val="19"/>
        <w:tabs>
          <w:tab w:val="right" w:leader="dot" w:pos="8306"/>
        </w:tabs>
        <w:rPr>
          <w:rFonts w:ascii="宋体" w:hAnsi="宋体" w:eastAsia="宋体" w:cs="宋体"/>
          <w:szCs w:val="21"/>
        </w:rPr>
      </w:pPr>
      <w:r>
        <w:fldChar w:fldCharType="begin"/>
      </w:r>
      <w:r>
        <w:instrText xml:space="preserve"> HYPERLINK \l "_Toc6688" </w:instrText>
      </w:r>
      <w:r>
        <w:fldChar w:fldCharType="separate"/>
      </w:r>
      <w:r>
        <w:rPr>
          <w:rFonts w:hint="eastAsia" w:ascii="宋体" w:hAnsi="宋体" w:eastAsia="宋体" w:cs="宋体"/>
          <w:szCs w:val="21"/>
        </w:rPr>
        <w:t>2. 数据收集</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_Toc6688 \h </w:instrText>
      </w:r>
      <w:r>
        <w:rPr>
          <w:rFonts w:hint="eastAsia" w:ascii="宋体" w:hAnsi="宋体" w:eastAsia="宋体" w:cs="宋体"/>
          <w:szCs w:val="21"/>
        </w:rPr>
        <w:fldChar w:fldCharType="separate"/>
      </w:r>
      <w:r>
        <w:rPr>
          <w:rFonts w:hint="eastAsia" w:ascii="宋体" w:hAnsi="宋体" w:eastAsia="宋体" w:cs="宋体"/>
          <w:szCs w:val="21"/>
        </w:rPr>
        <w:t>4</w:t>
      </w:r>
      <w:r>
        <w:rPr>
          <w:rFonts w:hint="eastAsia" w:ascii="宋体" w:hAnsi="宋体" w:eastAsia="宋体" w:cs="宋体"/>
          <w:szCs w:val="21"/>
        </w:rPr>
        <w:fldChar w:fldCharType="end"/>
      </w:r>
      <w:r>
        <w:rPr>
          <w:rFonts w:hint="eastAsia" w:ascii="宋体" w:hAnsi="宋体" w:eastAsia="宋体" w:cs="宋体"/>
          <w:szCs w:val="21"/>
        </w:rPr>
        <w:fldChar w:fldCharType="end"/>
      </w:r>
    </w:p>
    <w:p w14:paraId="27266415">
      <w:pPr>
        <w:pStyle w:val="21"/>
        <w:tabs>
          <w:tab w:val="right" w:leader="dot" w:pos="8306"/>
        </w:tabs>
        <w:rPr>
          <w:rFonts w:ascii="宋体" w:hAnsi="宋体" w:eastAsia="宋体" w:cs="宋体"/>
          <w:szCs w:val="21"/>
        </w:rPr>
      </w:pPr>
      <w:r>
        <w:fldChar w:fldCharType="begin"/>
      </w:r>
      <w:r>
        <w:instrText xml:space="preserve"> HYPERLINK \l "_Toc3753" </w:instrText>
      </w:r>
      <w:r>
        <w:fldChar w:fldCharType="separate"/>
      </w:r>
      <w:r>
        <w:rPr>
          <w:rFonts w:hint="eastAsia" w:ascii="宋体" w:hAnsi="宋体" w:eastAsia="宋体" w:cs="宋体"/>
          <w:szCs w:val="21"/>
        </w:rPr>
        <w:t>2.1.微晶玻璃</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_Toc3753 \h </w:instrText>
      </w:r>
      <w:r>
        <w:rPr>
          <w:rFonts w:hint="eastAsia" w:ascii="宋体" w:hAnsi="宋体" w:eastAsia="宋体" w:cs="宋体"/>
          <w:szCs w:val="21"/>
        </w:rPr>
        <w:fldChar w:fldCharType="separate"/>
      </w:r>
      <w:r>
        <w:rPr>
          <w:rFonts w:hint="eastAsia" w:ascii="宋体" w:hAnsi="宋体" w:eastAsia="宋体" w:cs="宋体"/>
          <w:szCs w:val="21"/>
        </w:rPr>
        <w:t>4</w:t>
      </w:r>
      <w:r>
        <w:rPr>
          <w:rFonts w:hint="eastAsia" w:ascii="宋体" w:hAnsi="宋体" w:eastAsia="宋体" w:cs="宋体"/>
          <w:szCs w:val="21"/>
        </w:rPr>
        <w:fldChar w:fldCharType="end"/>
      </w:r>
      <w:r>
        <w:rPr>
          <w:rFonts w:hint="eastAsia" w:ascii="宋体" w:hAnsi="宋体" w:eastAsia="宋体" w:cs="宋体"/>
          <w:szCs w:val="21"/>
        </w:rPr>
        <w:fldChar w:fldCharType="end"/>
      </w:r>
    </w:p>
    <w:p w14:paraId="69F3B3AC">
      <w:pPr>
        <w:pStyle w:val="21"/>
        <w:tabs>
          <w:tab w:val="right" w:leader="dot" w:pos="8306"/>
        </w:tabs>
        <w:rPr>
          <w:rFonts w:ascii="宋体" w:hAnsi="宋体" w:eastAsia="宋体" w:cs="宋体"/>
          <w:szCs w:val="21"/>
        </w:rPr>
      </w:pPr>
      <w:r>
        <w:fldChar w:fldCharType="begin"/>
      </w:r>
      <w:r>
        <w:instrText xml:space="preserve"> HYPERLINK \l "_Toc7586" </w:instrText>
      </w:r>
      <w:r>
        <w:fldChar w:fldCharType="separate"/>
      </w:r>
      <w:r>
        <w:rPr>
          <w:rFonts w:hint="eastAsia" w:ascii="宋体" w:hAnsi="宋体" w:eastAsia="宋体" w:cs="宋体"/>
          <w:szCs w:val="21"/>
        </w:rPr>
        <w:t>2.2.玻璃带</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_Toc7586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14:paraId="518EC6EE">
      <w:pPr>
        <w:pStyle w:val="21"/>
        <w:tabs>
          <w:tab w:val="right" w:leader="dot" w:pos="8306"/>
        </w:tabs>
        <w:rPr>
          <w:rFonts w:ascii="宋体" w:hAnsi="宋体" w:eastAsia="宋体" w:cs="宋体"/>
          <w:szCs w:val="21"/>
        </w:rPr>
      </w:pPr>
      <w:r>
        <w:fldChar w:fldCharType="begin"/>
      </w:r>
      <w:r>
        <w:instrText xml:space="preserve"> HYPERLINK \l "_Toc20080" </w:instrText>
      </w:r>
      <w:r>
        <w:fldChar w:fldCharType="separate"/>
      </w:r>
      <w:r>
        <w:rPr>
          <w:rFonts w:hint="eastAsia" w:ascii="宋体" w:hAnsi="宋体" w:eastAsia="宋体" w:cs="宋体"/>
          <w:szCs w:val="21"/>
        </w:rPr>
        <w:t>2.3.玻璃液</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_Toc20080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14:paraId="4B3B4DE4">
      <w:pPr>
        <w:pStyle w:val="19"/>
        <w:tabs>
          <w:tab w:val="right" w:leader="dot" w:pos="8306"/>
        </w:tabs>
        <w:rPr>
          <w:rFonts w:ascii="宋体" w:hAnsi="宋体" w:eastAsia="宋体" w:cs="宋体"/>
          <w:szCs w:val="21"/>
        </w:rPr>
      </w:pPr>
      <w:r>
        <w:fldChar w:fldCharType="begin"/>
      </w:r>
      <w:r>
        <w:instrText xml:space="preserve"> HYPERLINK \l "_Toc30855" </w:instrText>
      </w:r>
      <w:r>
        <w:fldChar w:fldCharType="separate"/>
      </w:r>
      <w:r>
        <w:rPr>
          <w:rFonts w:hint="eastAsia" w:ascii="宋体" w:hAnsi="宋体" w:eastAsia="宋体" w:cs="宋体"/>
          <w:szCs w:val="21"/>
        </w:rPr>
        <w:t>3. 生命周期影响分析</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_Toc30855 \h </w:instrText>
      </w:r>
      <w:r>
        <w:rPr>
          <w:rFonts w:hint="eastAsia" w:ascii="宋体" w:hAnsi="宋体" w:eastAsia="宋体" w:cs="宋体"/>
          <w:szCs w:val="21"/>
        </w:rPr>
        <w:fldChar w:fldCharType="separate"/>
      </w:r>
      <w:r>
        <w:rPr>
          <w:rFonts w:hint="eastAsia" w:ascii="宋体" w:hAnsi="宋体" w:eastAsia="宋体" w:cs="宋体"/>
          <w:szCs w:val="21"/>
        </w:rPr>
        <w:t>7</w:t>
      </w:r>
      <w:r>
        <w:rPr>
          <w:rFonts w:hint="eastAsia" w:ascii="宋体" w:hAnsi="宋体" w:eastAsia="宋体" w:cs="宋体"/>
          <w:szCs w:val="21"/>
        </w:rPr>
        <w:fldChar w:fldCharType="end"/>
      </w:r>
      <w:r>
        <w:rPr>
          <w:rFonts w:hint="eastAsia" w:ascii="宋体" w:hAnsi="宋体" w:eastAsia="宋体" w:cs="宋体"/>
          <w:szCs w:val="21"/>
        </w:rPr>
        <w:fldChar w:fldCharType="end"/>
      </w:r>
    </w:p>
    <w:p w14:paraId="3B31F49E">
      <w:pPr>
        <w:pStyle w:val="21"/>
        <w:tabs>
          <w:tab w:val="right" w:leader="dot" w:pos="8306"/>
        </w:tabs>
        <w:rPr>
          <w:rFonts w:ascii="宋体" w:hAnsi="宋体" w:eastAsia="宋体" w:cs="宋体"/>
          <w:szCs w:val="21"/>
        </w:rPr>
      </w:pPr>
      <w:r>
        <w:fldChar w:fldCharType="begin"/>
      </w:r>
      <w:r>
        <w:instrText xml:space="preserve"> HYPERLINK \l "_Toc939" </w:instrText>
      </w:r>
      <w:r>
        <w:fldChar w:fldCharType="separate"/>
      </w:r>
      <w:r>
        <w:rPr>
          <w:rFonts w:hint="eastAsia" w:ascii="宋体" w:hAnsi="宋体" w:eastAsia="宋体" w:cs="宋体"/>
          <w:szCs w:val="21"/>
        </w:rPr>
        <w:t>3.1 LCA结果</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_Toc939 \h </w:instrText>
      </w:r>
      <w:r>
        <w:rPr>
          <w:rFonts w:hint="eastAsia" w:ascii="宋体" w:hAnsi="宋体" w:eastAsia="宋体" w:cs="宋体"/>
          <w:szCs w:val="21"/>
        </w:rPr>
        <w:fldChar w:fldCharType="separate"/>
      </w:r>
      <w:r>
        <w:rPr>
          <w:rFonts w:hint="eastAsia" w:ascii="宋体" w:hAnsi="宋体" w:eastAsia="宋体" w:cs="宋体"/>
          <w:szCs w:val="21"/>
        </w:rPr>
        <w:t>7</w:t>
      </w:r>
      <w:r>
        <w:rPr>
          <w:rFonts w:hint="eastAsia" w:ascii="宋体" w:hAnsi="宋体" w:eastAsia="宋体" w:cs="宋体"/>
          <w:szCs w:val="21"/>
        </w:rPr>
        <w:fldChar w:fldCharType="end"/>
      </w:r>
      <w:r>
        <w:rPr>
          <w:rFonts w:hint="eastAsia" w:ascii="宋体" w:hAnsi="宋体" w:eastAsia="宋体" w:cs="宋体"/>
          <w:szCs w:val="21"/>
        </w:rPr>
        <w:fldChar w:fldCharType="end"/>
      </w:r>
    </w:p>
    <w:p w14:paraId="2E88F859">
      <w:pPr>
        <w:pStyle w:val="21"/>
        <w:tabs>
          <w:tab w:val="right" w:leader="dot" w:pos="8306"/>
        </w:tabs>
        <w:rPr>
          <w:rFonts w:ascii="宋体" w:hAnsi="宋体" w:eastAsia="宋体" w:cs="宋体"/>
          <w:szCs w:val="21"/>
        </w:rPr>
      </w:pPr>
      <w:r>
        <w:fldChar w:fldCharType="begin"/>
      </w:r>
      <w:r>
        <w:instrText xml:space="preserve"> HYPERLINK \l "_Toc18745" </w:instrText>
      </w:r>
      <w:r>
        <w:fldChar w:fldCharType="separate"/>
      </w:r>
      <w:r>
        <w:rPr>
          <w:rFonts w:hint="eastAsia" w:ascii="宋体" w:hAnsi="宋体" w:eastAsia="宋体" w:cs="宋体"/>
          <w:szCs w:val="21"/>
        </w:rPr>
        <w:t>3.2过程累积贡献分析</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_Toc18745 \h </w:instrText>
      </w:r>
      <w:r>
        <w:rPr>
          <w:rFonts w:hint="eastAsia" w:ascii="宋体" w:hAnsi="宋体" w:eastAsia="宋体" w:cs="宋体"/>
          <w:szCs w:val="21"/>
        </w:rPr>
        <w:fldChar w:fldCharType="separate"/>
      </w:r>
      <w:r>
        <w:rPr>
          <w:rFonts w:hint="eastAsia" w:ascii="宋体" w:hAnsi="宋体" w:eastAsia="宋体" w:cs="宋体"/>
          <w:szCs w:val="21"/>
        </w:rPr>
        <w:t>9</w:t>
      </w:r>
      <w:r>
        <w:rPr>
          <w:rFonts w:hint="eastAsia" w:ascii="宋体" w:hAnsi="宋体" w:eastAsia="宋体" w:cs="宋体"/>
          <w:szCs w:val="21"/>
        </w:rPr>
        <w:fldChar w:fldCharType="end"/>
      </w:r>
      <w:r>
        <w:rPr>
          <w:rFonts w:hint="eastAsia" w:ascii="宋体" w:hAnsi="宋体" w:eastAsia="宋体" w:cs="宋体"/>
          <w:szCs w:val="21"/>
        </w:rPr>
        <w:fldChar w:fldCharType="end"/>
      </w:r>
    </w:p>
    <w:p w14:paraId="2D547F35">
      <w:pPr>
        <w:pStyle w:val="21"/>
        <w:tabs>
          <w:tab w:val="right" w:leader="dot" w:pos="8306"/>
        </w:tabs>
        <w:rPr>
          <w:rFonts w:ascii="宋体" w:hAnsi="宋体" w:eastAsia="宋体" w:cs="宋体"/>
          <w:szCs w:val="21"/>
        </w:rPr>
      </w:pPr>
      <w:r>
        <w:fldChar w:fldCharType="begin"/>
      </w:r>
      <w:r>
        <w:instrText xml:space="preserve"> HYPERLINK \l "_Toc31247" </w:instrText>
      </w:r>
      <w:r>
        <w:fldChar w:fldCharType="separate"/>
      </w:r>
      <w:r>
        <w:rPr>
          <w:rFonts w:hint="eastAsia" w:ascii="宋体" w:hAnsi="宋体" w:eastAsia="宋体" w:cs="宋体"/>
          <w:szCs w:val="21"/>
        </w:rPr>
        <w:t>3.3清单数据灵敏度分析</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_Toc31247 \h </w:instrText>
      </w:r>
      <w:r>
        <w:rPr>
          <w:rFonts w:hint="eastAsia" w:ascii="宋体" w:hAnsi="宋体" w:eastAsia="宋体" w:cs="宋体"/>
          <w:szCs w:val="21"/>
        </w:rPr>
        <w:fldChar w:fldCharType="separate"/>
      </w:r>
      <w:r>
        <w:rPr>
          <w:rFonts w:hint="eastAsia" w:ascii="宋体" w:hAnsi="宋体" w:eastAsia="宋体" w:cs="宋体"/>
          <w:szCs w:val="21"/>
        </w:rPr>
        <w:t>9</w:t>
      </w:r>
      <w:r>
        <w:rPr>
          <w:rFonts w:hint="eastAsia" w:ascii="宋体" w:hAnsi="宋体" w:eastAsia="宋体" w:cs="宋体"/>
          <w:szCs w:val="21"/>
        </w:rPr>
        <w:fldChar w:fldCharType="end"/>
      </w:r>
      <w:r>
        <w:rPr>
          <w:rFonts w:hint="eastAsia" w:ascii="宋体" w:hAnsi="宋体" w:eastAsia="宋体" w:cs="宋体"/>
          <w:szCs w:val="21"/>
        </w:rPr>
        <w:fldChar w:fldCharType="end"/>
      </w:r>
    </w:p>
    <w:p w14:paraId="7EA7734C">
      <w:pPr>
        <w:pStyle w:val="19"/>
        <w:tabs>
          <w:tab w:val="right" w:leader="dot" w:pos="8306"/>
        </w:tabs>
        <w:rPr>
          <w:rFonts w:ascii="宋体" w:hAnsi="宋体" w:eastAsia="宋体" w:cs="宋体"/>
          <w:szCs w:val="21"/>
        </w:rPr>
      </w:pPr>
      <w:r>
        <w:fldChar w:fldCharType="begin"/>
      </w:r>
      <w:r>
        <w:instrText xml:space="preserve"> HYPERLINK \l "_Toc32701" </w:instrText>
      </w:r>
      <w:r>
        <w:fldChar w:fldCharType="separate"/>
      </w:r>
      <w:r>
        <w:rPr>
          <w:rFonts w:hint="eastAsia" w:ascii="宋体" w:hAnsi="宋体" w:eastAsia="宋体" w:cs="宋体"/>
          <w:szCs w:val="21"/>
        </w:rPr>
        <w:t>4. 生命周期解释</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_Toc32701 \h </w:instrText>
      </w:r>
      <w:r>
        <w:rPr>
          <w:rFonts w:hint="eastAsia" w:ascii="宋体" w:hAnsi="宋体" w:eastAsia="宋体" w:cs="宋体"/>
          <w:szCs w:val="21"/>
        </w:rPr>
        <w:fldChar w:fldCharType="separate"/>
      </w:r>
      <w:r>
        <w:rPr>
          <w:rFonts w:hint="eastAsia" w:ascii="宋体" w:hAnsi="宋体" w:eastAsia="宋体" w:cs="宋体"/>
          <w:szCs w:val="21"/>
        </w:rPr>
        <w:t>12</w:t>
      </w:r>
      <w:r>
        <w:rPr>
          <w:rFonts w:hint="eastAsia" w:ascii="宋体" w:hAnsi="宋体" w:eastAsia="宋体" w:cs="宋体"/>
          <w:szCs w:val="21"/>
        </w:rPr>
        <w:fldChar w:fldCharType="end"/>
      </w:r>
      <w:r>
        <w:rPr>
          <w:rFonts w:hint="eastAsia" w:ascii="宋体" w:hAnsi="宋体" w:eastAsia="宋体" w:cs="宋体"/>
          <w:szCs w:val="21"/>
        </w:rPr>
        <w:fldChar w:fldCharType="end"/>
      </w:r>
    </w:p>
    <w:p w14:paraId="59CA91B6">
      <w:pPr>
        <w:pStyle w:val="21"/>
        <w:tabs>
          <w:tab w:val="right" w:leader="dot" w:pos="8306"/>
        </w:tabs>
        <w:rPr>
          <w:rFonts w:ascii="宋体" w:hAnsi="宋体" w:eastAsia="宋体" w:cs="宋体"/>
          <w:szCs w:val="21"/>
        </w:rPr>
      </w:pPr>
      <w:r>
        <w:fldChar w:fldCharType="begin"/>
      </w:r>
      <w:r>
        <w:instrText xml:space="preserve"> HYPERLINK \l "_Toc4110" </w:instrText>
      </w:r>
      <w:r>
        <w:fldChar w:fldCharType="separate"/>
      </w:r>
      <w:r>
        <w:rPr>
          <w:rFonts w:hint="eastAsia" w:ascii="宋体" w:hAnsi="宋体" w:eastAsia="宋体" w:cs="宋体"/>
          <w:szCs w:val="21"/>
        </w:rPr>
        <w:t>4.1. 完整性说明</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_Toc4110 \h </w:instrText>
      </w:r>
      <w:r>
        <w:rPr>
          <w:rFonts w:hint="eastAsia" w:ascii="宋体" w:hAnsi="宋体" w:eastAsia="宋体" w:cs="宋体"/>
          <w:szCs w:val="21"/>
        </w:rPr>
        <w:fldChar w:fldCharType="separate"/>
      </w:r>
      <w:r>
        <w:rPr>
          <w:rFonts w:hint="eastAsia" w:ascii="宋体" w:hAnsi="宋体" w:eastAsia="宋体" w:cs="宋体"/>
          <w:szCs w:val="21"/>
        </w:rPr>
        <w:t>12</w:t>
      </w:r>
      <w:r>
        <w:rPr>
          <w:rFonts w:hint="eastAsia" w:ascii="宋体" w:hAnsi="宋体" w:eastAsia="宋体" w:cs="宋体"/>
          <w:szCs w:val="21"/>
        </w:rPr>
        <w:fldChar w:fldCharType="end"/>
      </w:r>
      <w:r>
        <w:rPr>
          <w:rFonts w:hint="eastAsia" w:ascii="宋体" w:hAnsi="宋体" w:eastAsia="宋体" w:cs="宋体"/>
          <w:szCs w:val="21"/>
        </w:rPr>
        <w:fldChar w:fldCharType="end"/>
      </w:r>
    </w:p>
    <w:p w14:paraId="22A12906">
      <w:pPr>
        <w:pStyle w:val="21"/>
        <w:tabs>
          <w:tab w:val="right" w:leader="dot" w:pos="8306"/>
        </w:tabs>
        <w:rPr>
          <w:rFonts w:ascii="宋体" w:hAnsi="宋体" w:eastAsia="宋体" w:cs="宋体"/>
          <w:szCs w:val="21"/>
        </w:rPr>
      </w:pPr>
      <w:r>
        <w:fldChar w:fldCharType="begin"/>
      </w:r>
      <w:r>
        <w:instrText xml:space="preserve"> HYPERLINK \l "_Toc32060" </w:instrText>
      </w:r>
      <w:r>
        <w:fldChar w:fldCharType="separate"/>
      </w:r>
      <w:r>
        <w:rPr>
          <w:rFonts w:hint="eastAsia" w:ascii="宋体" w:hAnsi="宋体" w:eastAsia="宋体" w:cs="宋体"/>
          <w:szCs w:val="21"/>
        </w:rPr>
        <w:t>4.2. 数据质量评估结果</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_Toc32060 \h </w:instrText>
      </w:r>
      <w:r>
        <w:rPr>
          <w:rFonts w:hint="eastAsia" w:ascii="宋体" w:hAnsi="宋体" w:eastAsia="宋体" w:cs="宋体"/>
          <w:szCs w:val="21"/>
        </w:rPr>
        <w:fldChar w:fldCharType="separate"/>
      </w:r>
      <w:r>
        <w:rPr>
          <w:rFonts w:hint="eastAsia" w:ascii="宋体" w:hAnsi="宋体" w:eastAsia="宋体" w:cs="宋体"/>
          <w:szCs w:val="21"/>
        </w:rPr>
        <w:t>12</w:t>
      </w:r>
      <w:r>
        <w:rPr>
          <w:rFonts w:hint="eastAsia" w:ascii="宋体" w:hAnsi="宋体" w:eastAsia="宋体" w:cs="宋体"/>
          <w:szCs w:val="21"/>
        </w:rPr>
        <w:fldChar w:fldCharType="end"/>
      </w:r>
      <w:r>
        <w:rPr>
          <w:rFonts w:hint="eastAsia" w:ascii="宋体" w:hAnsi="宋体" w:eastAsia="宋体" w:cs="宋体"/>
          <w:szCs w:val="21"/>
        </w:rPr>
        <w:fldChar w:fldCharType="end"/>
      </w:r>
    </w:p>
    <w:p w14:paraId="6602027A">
      <w:pPr>
        <w:pStyle w:val="2"/>
        <w:rPr>
          <w:rFonts w:ascii="宋体" w:hAnsi="宋体" w:eastAsia="宋体" w:cs="宋体"/>
          <w:sz w:val="21"/>
          <w:szCs w:val="21"/>
        </w:rPr>
      </w:pPr>
      <w:r>
        <w:rPr>
          <w:rFonts w:hint="eastAsia" w:ascii="宋体" w:hAnsi="宋体" w:eastAsia="宋体" w:cs="宋体"/>
          <w:sz w:val="21"/>
          <w:szCs w:val="21"/>
        </w:rPr>
        <w:fldChar w:fldCharType="end"/>
      </w:r>
    </w:p>
    <w:p w14:paraId="49B32EC8">
      <w:pPr>
        <w:pStyle w:val="2"/>
        <w:rPr>
          <w:rFonts w:ascii="宋体" w:hAnsi="宋体" w:eastAsia="宋体" w:cs="宋体"/>
          <w:sz w:val="21"/>
          <w:szCs w:val="21"/>
        </w:rPr>
        <w:sectPr>
          <w:footerReference r:id="rId5" w:type="default"/>
          <w:pgSz w:w="11906" w:h="16838"/>
          <w:pgMar w:top="1440" w:right="1800" w:bottom="1440" w:left="1800" w:header="851" w:footer="992" w:gutter="0"/>
          <w:pgNumType w:start="1"/>
          <w:cols w:space="720" w:num="1"/>
          <w:docGrid w:type="lines" w:linePitch="312" w:charSpace="0"/>
        </w:sectPr>
      </w:pPr>
    </w:p>
    <w:p w14:paraId="25133625">
      <w:pPr>
        <w:pStyle w:val="47"/>
        <w:spacing w:before="100" w:beforeAutospacing="1" w:after="0" w:line="30" w:lineRule="atLeast"/>
        <w:rPr>
          <w:rFonts w:ascii="Times New Roman" w:hAnsi="Times New Roman" w:cs="Times New Roman"/>
          <w:sz w:val="30"/>
          <w:szCs w:val="30"/>
        </w:rPr>
      </w:pPr>
      <w:r>
        <w:rPr>
          <w:rFonts w:hint="eastAsia" w:ascii="Times New Roman" w:hAnsi="Times New Roman" w:eastAsia="黑体" w:cs="Times New Roman"/>
          <w:kern w:val="0"/>
          <w:sz w:val="36"/>
          <w:szCs w:val="36"/>
        </w:rPr>
        <w:t>煤矸石制微晶玻璃生命周期评价报告</w:t>
      </w:r>
      <w:bookmarkStart w:id="66" w:name="_Toc16579"/>
      <w:bookmarkStart w:id="67" w:name="_Toc5176"/>
      <w:r>
        <w:rPr>
          <w:rFonts w:ascii="Times New Roman" w:hAnsi="Times New Roman" w:cs="Times New Roman"/>
          <w:sz w:val="30"/>
          <w:szCs w:val="30"/>
        </w:rPr>
        <w:t>目标与范围定义</w:t>
      </w:r>
      <w:bookmarkEnd w:id="66"/>
      <w:bookmarkEnd w:id="67"/>
    </w:p>
    <w:p w14:paraId="6D162335">
      <w:pPr>
        <w:pStyle w:val="47"/>
        <w:numPr>
          <w:ilvl w:val="1"/>
          <w:numId w:val="1"/>
        </w:numPr>
        <w:spacing w:before="100" w:beforeAutospacing="1" w:after="0" w:line="360" w:lineRule="auto"/>
        <w:outlineLvl w:val="1"/>
        <w:rPr>
          <w:rFonts w:ascii="Times New Roman" w:hAnsi="Times New Roman" w:cs="Times New Roman"/>
          <w:szCs w:val="28"/>
        </w:rPr>
      </w:pPr>
      <w:bookmarkStart w:id="68" w:name="_Toc25237"/>
      <w:bookmarkStart w:id="69" w:name="_Toc27090"/>
      <w:r>
        <w:rPr>
          <w:rFonts w:ascii="Times New Roman" w:hAnsi="Times New Roman" w:cs="Times New Roman"/>
          <w:szCs w:val="28"/>
        </w:rPr>
        <w:t>目标定义</w:t>
      </w:r>
      <w:bookmarkEnd w:id="68"/>
      <w:bookmarkEnd w:id="69"/>
    </w:p>
    <w:p w14:paraId="15C2D889">
      <w:pPr>
        <w:pStyle w:val="47"/>
        <w:numPr>
          <w:ilvl w:val="2"/>
          <w:numId w:val="1"/>
        </w:numPr>
        <w:spacing w:before="100" w:beforeAutospacing="1" w:after="0" w:line="360" w:lineRule="auto"/>
        <w:outlineLvl w:val="2"/>
        <w:rPr>
          <w:rFonts w:ascii="Times New Roman" w:hAnsi="Times New Roman" w:cs="Times New Roman"/>
          <w:sz w:val="24"/>
          <w:szCs w:val="24"/>
        </w:rPr>
      </w:pPr>
      <w:r>
        <w:rPr>
          <w:rFonts w:ascii="Times New Roman" w:hAnsi="Times New Roman" w:cs="Times New Roman"/>
          <w:sz w:val="24"/>
          <w:szCs w:val="24"/>
        </w:rPr>
        <w:t>产品信息</w:t>
      </w:r>
    </w:p>
    <w:p w14:paraId="3F83243C">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本研究的研究对象为</w:t>
      </w:r>
      <w:r>
        <w:rPr>
          <w:rFonts w:hint="eastAsia" w:ascii="Times New Roman" w:hAnsi="Times New Roman" w:eastAsia="宋体" w:cs="Times New Roman"/>
          <w:sz w:val="24"/>
          <w:szCs w:val="24"/>
        </w:rPr>
        <w:t>：</w:t>
      </w:r>
      <w:r>
        <w:rPr>
          <w:rFonts w:ascii="Times New Roman" w:hAnsi="Times New Roman" w:eastAsia="宋体" w:cs="Times New Roman"/>
          <w:sz w:val="24"/>
          <w:szCs w:val="24"/>
        </w:rPr>
        <w:t>微晶玻璃，具体信息如下：</w:t>
      </w:r>
    </w:p>
    <w:p w14:paraId="2488142C">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规格型号：</w:t>
      </w:r>
      <w:r>
        <w:rPr>
          <w:rFonts w:hint="eastAsia" w:ascii="Times New Roman" w:hAnsi="Times New Roman" w:eastAsia="宋体" w:cs="Times New Roman"/>
          <w:sz w:val="24"/>
          <w:szCs w:val="24"/>
        </w:rPr>
        <w:t>1500mm*3150mm*16mm(300mm*300mm*16mm)</w:t>
      </w:r>
    </w:p>
    <w:p w14:paraId="373C87A3">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形状与形态：</w:t>
      </w:r>
      <w:r>
        <w:rPr>
          <w:rFonts w:hint="eastAsia" w:ascii="Times New Roman" w:hAnsi="Times New Roman" w:eastAsia="宋体" w:cs="Times New Roman"/>
          <w:sz w:val="24"/>
          <w:szCs w:val="24"/>
        </w:rPr>
        <w:t>平整、坚硬的矩形薄片状，具有光滑表面和脆性特质</w:t>
      </w:r>
    </w:p>
    <w:p w14:paraId="6D38A632">
      <w:pPr>
        <w:pStyle w:val="47"/>
        <w:numPr>
          <w:ilvl w:val="2"/>
          <w:numId w:val="1"/>
        </w:numPr>
        <w:spacing w:before="100" w:beforeAutospacing="1" w:after="0" w:line="360" w:lineRule="auto"/>
        <w:outlineLvl w:val="2"/>
        <w:rPr>
          <w:rFonts w:ascii="Times New Roman" w:hAnsi="Times New Roman" w:cs="Times New Roman"/>
          <w:sz w:val="24"/>
          <w:szCs w:val="24"/>
        </w:rPr>
      </w:pPr>
      <w:r>
        <w:rPr>
          <w:rFonts w:ascii="Times New Roman" w:hAnsi="Times New Roman" w:cs="Times New Roman"/>
          <w:sz w:val="24"/>
          <w:szCs w:val="24"/>
        </w:rPr>
        <w:t>功能单位与基准流</w:t>
      </w:r>
    </w:p>
    <w:p w14:paraId="01AD6A47">
      <w:pPr>
        <w:spacing w:line="360" w:lineRule="auto"/>
        <w:ind w:firstLine="420"/>
        <w:rPr>
          <w:rFonts w:ascii="Times New Roman" w:hAnsi="Times New Roman" w:cs="Times New Roman"/>
        </w:rPr>
      </w:pPr>
      <w:r>
        <w:rPr>
          <w:rStyle w:val="46"/>
          <w:rFonts w:hint="default" w:ascii="Times New Roman" w:hAnsi="Times New Roman" w:cs="Times New Roman"/>
        </w:rPr>
        <w:t>本报告以生产1t氟硅酸盐微晶玻璃为功能单位。</w:t>
      </w:r>
    </w:p>
    <w:p w14:paraId="75E79A2C">
      <w:pPr>
        <w:pStyle w:val="47"/>
        <w:numPr>
          <w:ilvl w:val="2"/>
          <w:numId w:val="1"/>
        </w:numPr>
        <w:spacing w:before="100" w:beforeAutospacing="1" w:after="0" w:line="360" w:lineRule="auto"/>
        <w:outlineLvl w:val="2"/>
        <w:rPr>
          <w:rFonts w:ascii="Times New Roman" w:hAnsi="Times New Roman" w:cs="Times New Roman"/>
          <w:sz w:val="24"/>
          <w:szCs w:val="24"/>
        </w:rPr>
      </w:pPr>
      <w:r>
        <w:rPr>
          <w:rFonts w:ascii="Times New Roman" w:hAnsi="Times New Roman" w:cs="Times New Roman"/>
          <w:sz w:val="24"/>
          <w:szCs w:val="24"/>
        </w:rPr>
        <w:t>数据代表性</w:t>
      </w:r>
    </w:p>
    <w:p w14:paraId="354DC385">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时间、地理、技术代表性如下：</w:t>
      </w:r>
    </w:p>
    <w:p w14:paraId="4EAE047F">
      <w:pPr>
        <w:spacing w:line="360" w:lineRule="auto"/>
        <w:rPr>
          <w:rFonts w:ascii="Times New Roman" w:hAnsi="Times New Roman" w:eastAsia="宋体"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时间代表性：202</w:t>
      </w:r>
      <w:r>
        <w:rPr>
          <w:rFonts w:hint="eastAsia" w:ascii="Times New Roman" w:hAnsi="Times New Roman" w:cs="Times New Roman"/>
          <w:sz w:val="24"/>
          <w:szCs w:val="24"/>
        </w:rPr>
        <w:t>5</w:t>
      </w:r>
    </w:p>
    <w:p w14:paraId="03C46AC9">
      <w:pPr>
        <w:spacing w:line="360" w:lineRule="auto"/>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地理代表性：中国</w:t>
      </w:r>
    </w:p>
    <w:p w14:paraId="7E1E687B">
      <w:pPr>
        <w:pStyle w:val="47"/>
        <w:numPr>
          <w:ilvl w:val="1"/>
          <w:numId w:val="1"/>
        </w:numPr>
        <w:spacing w:before="100" w:beforeAutospacing="1" w:after="0" w:line="360" w:lineRule="auto"/>
        <w:outlineLvl w:val="1"/>
        <w:rPr>
          <w:rFonts w:ascii="Times New Roman" w:hAnsi="Times New Roman" w:cs="Times New Roman"/>
          <w:szCs w:val="28"/>
        </w:rPr>
      </w:pPr>
      <w:bookmarkStart w:id="70" w:name="_Toc14595"/>
      <w:bookmarkStart w:id="71" w:name="_Toc18784"/>
      <w:r>
        <w:rPr>
          <w:rFonts w:ascii="Times New Roman" w:hAnsi="Times New Roman" w:cs="Times New Roman"/>
          <w:szCs w:val="28"/>
        </w:rPr>
        <w:t>范围定义</w:t>
      </w:r>
      <w:bookmarkEnd w:id="70"/>
      <w:bookmarkEnd w:id="71"/>
    </w:p>
    <w:p w14:paraId="3AFF5769">
      <w:pPr>
        <w:pStyle w:val="47"/>
        <w:numPr>
          <w:ilvl w:val="2"/>
          <w:numId w:val="1"/>
        </w:numPr>
        <w:spacing w:before="100" w:beforeAutospacing="1" w:after="0" w:line="360" w:lineRule="auto"/>
        <w:outlineLvl w:val="2"/>
        <w:rPr>
          <w:rFonts w:ascii="Times New Roman" w:hAnsi="Times New Roman" w:cs="Times New Roman"/>
          <w:sz w:val="24"/>
          <w:szCs w:val="24"/>
        </w:rPr>
      </w:pPr>
      <w:r>
        <w:rPr>
          <w:rFonts w:ascii="Times New Roman" w:hAnsi="Times New Roman" w:cs="Times New Roman"/>
          <w:sz w:val="24"/>
          <w:szCs w:val="24"/>
        </w:rPr>
        <w:t>系统边界</w:t>
      </w:r>
    </w:p>
    <w:p w14:paraId="5AD74E43">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本研究的系统边界为，主要包括</w:t>
      </w:r>
    </w:p>
    <w:p w14:paraId="070CFF9E">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（1）电力、柴油能源的生产过程，包括能源开采、输送及泄露过程；</w:t>
      </w:r>
    </w:p>
    <w:p w14:paraId="324CAB03">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（2）煤矸石、石英砂、氟硅酸钠、纯碱及水等的生产（开采）及运输过程；</w:t>
      </w:r>
    </w:p>
    <w:p w14:paraId="04D249A5">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（3）氟硅酸盐微晶玻璃生产制造过程，包括车间内部运输、生产制造、暂时储存及包装过程。</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5178F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57F2984A">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5115560" cy="4308475"/>
                  <wp:effectExtent l="0" t="0" r="8890" b="15875"/>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9"/>
                          <a:stretch>
                            <a:fillRect/>
                          </a:stretch>
                        </pic:blipFill>
                        <pic:spPr>
                          <a:xfrm>
                            <a:off x="0" y="0"/>
                            <a:ext cx="5115560" cy="4308475"/>
                          </a:xfrm>
                          <a:prstGeom prst="rect">
                            <a:avLst/>
                          </a:prstGeom>
                          <a:noFill/>
                          <a:ln>
                            <a:noFill/>
                          </a:ln>
                        </pic:spPr>
                      </pic:pic>
                    </a:graphicData>
                  </a:graphic>
                </wp:inline>
              </w:drawing>
            </w:r>
          </w:p>
        </w:tc>
      </w:tr>
    </w:tbl>
    <w:p w14:paraId="680D073D">
      <w:pPr>
        <w:pStyle w:val="47"/>
        <w:numPr>
          <w:ilvl w:val="2"/>
          <w:numId w:val="1"/>
        </w:numPr>
        <w:spacing w:before="100" w:beforeAutospacing="1" w:after="0" w:line="360" w:lineRule="auto"/>
        <w:outlineLvl w:val="2"/>
        <w:rPr>
          <w:rFonts w:ascii="Times New Roman" w:hAnsi="Times New Roman" w:cs="Times New Roman"/>
          <w:sz w:val="24"/>
          <w:szCs w:val="24"/>
        </w:rPr>
      </w:pPr>
      <w:r>
        <w:rPr>
          <w:rFonts w:ascii="Times New Roman" w:hAnsi="Times New Roman" w:cs="Times New Roman"/>
          <w:sz w:val="24"/>
          <w:szCs w:val="24"/>
        </w:rPr>
        <w:t>取舍原则</w:t>
      </w:r>
    </w:p>
    <w:p w14:paraId="29974CDA">
      <w:pPr>
        <w:spacing w:line="360" w:lineRule="auto"/>
        <w:ind w:firstLine="420"/>
        <w:rPr>
          <w:rStyle w:val="46"/>
          <w:rFonts w:hint="default" w:ascii="Times New Roman" w:hAnsi="Times New Roman" w:cs="Times New Roman"/>
        </w:rPr>
      </w:pPr>
      <w:r>
        <w:rPr>
          <w:rStyle w:val="46"/>
          <w:rFonts w:hint="default" w:ascii="Times New Roman" w:hAnsi="Times New Roman" w:cs="Times New Roman"/>
        </w:rPr>
        <w:t>本研究采用的取舍规则以各项原材料投入占产品重量或过程总投入的重量比为依据。具体规则如下：</w:t>
      </w:r>
    </w:p>
    <w:p w14:paraId="356BCA9E">
      <w:pPr>
        <w:pStyle w:val="41"/>
        <w:numPr>
          <w:ilvl w:val="0"/>
          <w:numId w:val="10"/>
        </w:numPr>
        <w:spacing w:line="360" w:lineRule="auto"/>
        <w:rPr>
          <w:rStyle w:val="46"/>
          <w:rFonts w:hint="default" w:ascii="Times New Roman" w:hAnsi="Times New Roman"/>
        </w:rPr>
      </w:pPr>
      <w:r>
        <w:rPr>
          <w:rStyle w:val="46"/>
          <w:rFonts w:hint="default" w:ascii="Times New Roman" w:hAnsi="Times New Roman"/>
        </w:rPr>
        <w:t>普通物料重量＜1%产品重量时，以及含稀贵或高纯成分的物料重量＜0.1%产品重量时，可忽略该物料的上游生产数据；总共忽略的物料重量不超过 5%；</w:t>
      </w:r>
    </w:p>
    <w:p w14:paraId="5D71F9FE">
      <w:pPr>
        <w:pStyle w:val="41"/>
        <w:numPr>
          <w:ilvl w:val="0"/>
          <w:numId w:val="10"/>
        </w:numPr>
        <w:spacing w:line="360" w:lineRule="auto"/>
        <w:rPr>
          <w:rStyle w:val="46"/>
          <w:rFonts w:hint="default" w:ascii="Times New Roman" w:hAnsi="Times New Roman"/>
        </w:rPr>
      </w:pPr>
      <w:r>
        <w:rPr>
          <w:rStyle w:val="46"/>
          <w:rFonts w:hint="default" w:ascii="Times New Roman" w:hAnsi="Times New Roman"/>
        </w:rPr>
        <w:t>低价值废物作为原料，如粉煤灰、矿渣、秸秆、生活垃圾等，可忽略其上游生产数据；</w:t>
      </w:r>
    </w:p>
    <w:p w14:paraId="22990877">
      <w:pPr>
        <w:pStyle w:val="41"/>
        <w:numPr>
          <w:ilvl w:val="0"/>
          <w:numId w:val="10"/>
        </w:numPr>
        <w:spacing w:line="360" w:lineRule="auto"/>
        <w:rPr>
          <w:rStyle w:val="46"/>
          <w:rFonts w:hint="default" w:ascii="Times New Roman" w:hAnsi="Times New Roman"/>
        </w:rPr>
      </w:pPr>
      <w:r>
        <w:rPr>
          <w:rStyle w:val="46"/>
          <w:rFonts w:hint="default" w:ascii="Times New Roman" w:hAnsi="Times New Roman"/>
        </w:rPr>
        <w:t>大多数情况下，生产设备、厂房、生活设施等可以忽略；</w:t>
      </w:r>
    </w:p>
    <w:p w14:paraId="3334773D">
      <w:pPr>
        <w:pStyle w:val="41"/>
        <w:numPr>
          <w:ilvl w:val="0"/>
          <w:numId w:val="10"/>
        </w:numPr>
        <w:spacing w:line="360" w:lineRule="auto"/>
        <w:rPr>
          <w:rStyle w:val="46"/>
          <w:rFonts w:hint="default" w:ascii="Times New Roman" w:hAnsi="Times New Roman"/>
        </w:rPr>
      </w:pPr>
      <w:r>
        <w:rPr>
          <w:rStyle w:val="46"/>
          <w:rFonts w:hint="default" w:ascii="Times New Roman" w:hAnsi="Times New Roman"/>
        </w:rPr>
        <w:t>在选定环境影响类型范围内的已知排放数据不应忽略.</w:t>
      </w:r>
    </w:p>
    <w:p w14:paraId="2571DCFC">
      <w:pPr>
        <w:pStyle w:val="47"/>
        <w:numPr>
          <w:ilvl w:val="2"/>
          <w:numId w:val="1"/>
        </w:numPr>
        <w:spacing w:before="100" w:beforeAutospacing="1" w:after="0" w:line="30" w:lineRule="atLeast"/>
        <w:outlineLvl w:val="2"/>
        <w:rPr>
          <w:rFonts w:ascii="Times New Roman" w:hAnsi="Times New Roman" w:cs="Times New Roman"/>
          <w:sz w:val="24"/>
          <w:szCs w:val="24"/>
        </w:rPr>
      </w:pPr>
      <w:r>
        <w:rPr>
          <w:rFonts w:ascii="Times New Roman" w:hAnsi="Times New Roman" w:cs="Times New Roman"/>
          <w:sz w:val="24"/>
          <w:szCs w:val="24"/>
        </w:rPr>
        <w:t>环境影响类型</w:t>
      </w:r>
    </w:p>
    <w:p w14:paraId="17FCC3EF">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表</w:t>
      </w:r>
      <w:r>
        <w:rPr>
          <w:rFonts w:hint="eastAsia" w:ascii="Times New Roman" w:hAnsi="Times New Roman" w:eastAsia="宋体" w:cs="Times New Roman"/>
          <w:color w:val="000000"/>
          <w:sz w:val="22"/>
        </w:rPr>
        <w:t>1.2.3</w:t>
      </w:r>
      <w:r>
        <w:rPr>
          <w:rFonts w:ascii="Times New Roman" w:hAnsi="Times New Roman" w:eastAsia="宋体" w:cs="Times New Roman"/>
          <w:color w:val="000000"/>
          <w:sz w:val="22"/>
        </w:rPr>
        <w:t>环境影响类型指标</w:t>
      </w:r>
    </w:p>
    <w:tbl>
      <w:tblPr>
        <w:tblStyle w:val="62"/>
        <w:tblW w:w="5000"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1"/>
        <w:gridCol w:w="2841"/>
        <w:gridCol w:w="2840"/>
      </w:tblGrid>
      <w:tr w14:paraId="32C84C1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7" w:type="pct"/>
            <w:tcBorders>
              <w:top w:val="nil"/>
              <w:left w:val="single" w:color="000000" w:sz="4" w:space="0"/>
              <w:bottom w:val="single" w:color="000000" w:sz="4" w:space="0"/>
              <w:right w:val="nil"/>
              <w:insideV w:val="nil"/>
              <w:tl2br w:val="nil"/>
              <w:tr2bl w:val="nil"/>
            </w:tcBorders>
            <w:vAlign w:val="center"/>
          </w:tcPr>
          <w:p w14:paraId="5B1BCFD1">
            <w:pPr>
              <w:spacing w:line="30" w:lineRule="atLeast"/>
              <w:jc w:val="center"/>
              <w:rPr>
                <w:rFonts w:ascii="宋体" w:hAnsi="宋体" w:eastAsia="宋体" w:cs="Times New Roman"/>
                <w:b w:val="0"/>
                <w:bCs w:val="0"/>
                <w:color w:val="000000"/>
                <w:sz w:val="22"/>
              </w:rPr>
            </w:pPr>
            <w:r>
              <w:rPr>
                <w:rFonts w:ascii="宋体" w:hAnsi="宋体" w:eastAsia="宋体" w:cs="Times New Roman"/>
                <w:b/>
                <w:bCs/>
                <w:color w:val="000000"/>
                <w:sz w:val="22"/>
              </w:rPr>
              <w:t>环境影响类型指标</w:t>
            </w:r>
          </w:p>
        </w:tc>
        <w:tc>
          <w:tcPr>
            <w:tcW w:w="1667" w:type="pct"/>
            <w:tcBorders>
              <w:top w:val="nil"/>
              <w:bottom w:val="single" w:color="000000" w:sz="4" w:space="0"/>
              <w:right w:val="nil"/>
              <w:insideV w:val="nil"/>
              <w:tl2br w:val="nil"/>
              <w:tr2bl w:val="nil"/>
            </w:tcBorders>
            <w:vAlign w:val="center"/>
          </w:tcPr>
          <w:p w14:paraId="1ADFB6A6">
            <w:pPr>
              <w:spacing w:line="30" w:lineRule="atLeast"/>
              <w:jc w:val="center"/>
              <w:rPr>
                <w:rFonts w:ascii="宋体" w:hAnsi="宋体" w:eastAsia="宋体" w:cs="Times New Roman"/>
                <w:b w:val="0"/>
                <w:bCs w:val="0"/>
                <w:color w:val="000000"/>
                <w:sz w:val="22"/>
              </w:rPr>
            </w:pPr>
            <w:r>
              <w:rPr>
                <w:rFonts w:ascii="宋体" w:hAnsi="宋体" w:eastAsia="宋体" w:cs="Times New Roman"/>
                <w:b/>
                <w:bCs/>
                <w:color w:val="000000"/>
                <w:sz w:val="22"/>
              </w:rPr>
              <w:t>影响类型指标单位</w:t>
            </w:r>
          </w:p>
        </w:tc>
        <w:tc>
          <w:tcPr>
            <w:tcW w:w="1667" w:type="pct"/>
            <w:tcBorders>
              <w:top w:val="nil"/>
              <w:bottom w:val="single" w:color="000000" w:sz="4" w:space="0"/>
              <w:right w:val="nil"/>
              <w:insideV w:val="nil"/>
              <w:tl2br w:val="nil"/>
              <w:tr2bl w:val="nil"/>
            </w:tcBorders>
            <w:vAlign w:val="center"/>
          </w:tcPr>
          <w:p w14:paraId="6AC51305">
            <w:pPr>
              <w:spacing w:line="30" w:lineRule="atLeast"/>
              <w:jc w:val="center"/>
              <w:rPr>
                <w:rFonts w:ascii="宋体" w:hAnsi="宋体" w:eastAsia="宋体" w:cs="Times New Roman"/>
                <w:b w:val="0"/>
                <w:bCs w:val="0"/>
                <w:color w:val="000000"/>
                <w:sz w:val="22"/>
              </w:rPr>
            </w:pPr>
            <w:r>
              <w:rPr>
                <w:rFonts w:ascii="宋体" w:hAnsi="宋体" w:eastAsia="宋体" w:cs="Times New Roman"/>
                <w:b/>
                <w:bCs/>
                <w:color w:val="000000"/>
                <w:sz w:val="22"/>
              </w:rPr>
              <w:t>主要清单物质</w:t>
            </w:r>
          </w:p>
        </w:tc>
      </w:tr>
      <w:tr w14:paraId="2C85AEE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7" w:type="pct"/>
            <w:vAlign w:val="center"/>
          </w:tcPr>
          <w:p w14:paraId="1AAB14A4">
            <w:pPr>
              <w:spacing w:line="30" w:lineRule="atLeast"/>
              <w:jc w:val="center"/>
              <w:rPr>
                <w:rFonts w:ascii="宋体" w:hAnsi="宋体" w:eastAsia="宋体" w:cs="Times New Roman"/>
                <w:b w:val="0"/>
                <w:bCs w:val="0"/>
                <w:color w:val="000000"/>
                <w:sz w:val="22"/>
              </w:rPr>
            </w:pPr>
            <w:r>
              <w:rPr>
                <w:rFonts w:ascii="宋体" w:hAnsi="宋体" w:eastAsia="宋体" w:cs="Times New Roman"/>
                <w:b w:val="0"/>
                <w:bCs/>
                <w:color w:val="000000"/>
                <w:sz w:val="22"/>
              </w:rPr>
              <w:t>气候变化</w:t>
            </w:r>
          </w:p>
        </w:tc>
        <w:tc>
          <w:tcPr>
            <w:tcW w:w="1667" w:type="pct"/>
            <w:vAlign w:val="center"/>
          </w:tcPr>
          <w:p w14:paraId="29D52944">
            <w:pPr>
              <w:spacing w:line="30" w:lineRule="atLeast"/>
              <w:jc w:val="center"/>
              <w:rPr>
                <w:rFonts w:ascii="宋体" w:hAnsi="宋体" w:eastAsia="宋体" w:cs="Times New Roman"/>
                <w:bCs/>
                <w:color w:val="000000"/>
                <w:sz w:val="22"/>
              </w:rPr>
            </w:pPr>
            <w:r>
              <w:rPr>
                <w:rFonts w:ascii="宋体" w:hAnsi="宋体" w:eastAsia="宋体" w:cs="Times New Roman"/>
                <w:bCs/>
                <w:color w:val="000000"/>
                <w:sz w:val="22"/>
              </w:rPr>
              <w:t>kg CO</w:t>
            </w:r>
            <w:r>
              <w:rPr>
                <w:rFonts w:ascii="宋体" w:hAnsi="宋体" w:eastAsia="宋体" w:cs="Times New Roman"/>
                <w:bCs/>
                <w:color w:val="000000"/>
                <w:sz w:val="22"/>
                <w:vertAlign w:val="subscript"/>
              </w:rPr>
              <w:t>2</w:t>
            </w:r>
            <w:r>
              <w:rPr>
                <w:rFonts w:ascii="宋体" w:hAnsi="宋体" w:eastAsia="宋体" w:cs="Times New Roman"/>
                <w:bCs/>
                <w:color w:val="000000"/>
                <w:sz w:val="22"/>
              </w:rPr>
              <w:t xml:space="preserve"> eq.</w:t>
            </w:r>
          </w:p>
        </w:tc>
        <w:tc>
          <w:tcPr>
            <w:tcW w:w="1667" w:type="pct"/>
            <w:vAlign w:val="center"/>
          </w:tcPr>
          <w:p w14:paraId="53756EA8">
            <w:pPr>
              <w:spacing w:line="30" w:lineRule="atLeast"/>
              <w:jc w:val="center"/>
              <w:rPr>
                <w:rFonts w:ascii="宋体" w:hAnsi="宋体" w:eastAsia="宋体" w:cs="Times New Roman"/>
                <w:bCs/>
                <w:color w:val="000000"/>
                <w:sz w:val="22"/>
              </w:rPr>
            </w:pPr>
            <w:r>
              <w:rPr>
                <w:rFonts w:ascii="宋体" w:hAnsi="宋体" w:eastAsia="宋体" w:cs="Times New Roman"/>
                <w:bCs/>
                <w:color w:val="000000"/>
                <w:sz w:val="22"/>
              </w:rPr>
              <w:t>CO</w:t>
            </w:r>
            <w:r>
              <w:rPr>
                <w:rFonts w:ascii="宋体" w:hAnsi="宋体" w:eastAsia="宋体" w:cs="Times New Roman"/>
                <w:bCs/>
                <w:color w:val="000000"/>
                <w:sz w:val="22"/>
                <w:vertAlign w:val="subscript"/>
              </w:rPr>
              <w:t>2</w:t>
            </w:r>
            <w:r>
              <w:rPr>
                <w:rFonts w:ascii="宋体" w:hAnsi="宋体" w:eastAsia="宋体" w:cs="Times New Roman"/>
                <w:bCs/>
                <w:color w:val="000000"/>
                <w:sz w:val="22"/>
              </w:rPr>
              <w:t>,CH</w:t>
            </w:r>
            <w:r>
              <w:rPr>
                <w:rFonts w:ascii="宋体" w:hAnsi="宋体" w:eastAsia="宋体" w:cs="Times New Roman"/>
                <w:bCs/>
                <w:color w:val="000000"/>
                <w:sz w:val="22"/>
                <w:vertAlign w:val="subscript"/>
              </w:rPr>
              <w:t>4</w:t>
            </w:r>
            <w:r>
              <w:rPr>
                <w:rFonts w:ascii="宋体" w:hAnsi="宋体" w:eastAsia="宋体" w:cs="Times New Roman"/>
                <w:bCs/>
                <w:color w:val="000000"/>
                <w:sz w:val="22"/>
              </w:rPr>
              <w:t>,N</w:t>
            </w:r>
            <w:r>
              <w:rPr>
                <w:rFonts w:ascii="宋体" w:hAnsi="宋体" w:eastAsia="宋体" w:cs="Times New Roman"/>
                <w:bCs/>
                <w:color w:val="000000"/>
                <w:sz w:val="22"/>
                <w:vertAlign w:val="subscript"/>
              </w:rPr>
              <w:t>2</w:t>
            </w:r>
            <w:r>
              <w:rPr>
                <w:rFonts w:ascii="宋体" w:hAnsi="宋体" w:eastAsia="宋体" w:cs="Times New Roman"/>
                <w:bCs/>
                <w:color w:val="000000"/>
                <w:sz w:val="22"/>
              </w:rPr>
              <w:t>O…</w:t>
            </w:r>
          </w:p>
        </w:tc>
      </w:tr>
      <w:tr w14:paraId="1462556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7" w:type="pct"/>
            <w:vAlign w:val="center"/>
          </w:tcPr>
          <w:p w14:paraId="4B0CDC65">
            <w:pPr>
              <w:jc w:val="center"/>
              <w:rPr>
                <w:rFonts w:ascii="宋体" w:hAnsi="宋体" w:eastAsia="宋体" w:cs="Times New Roman"/>
                <w:b w:val="0"/>
                <w:bCs w:val="0"/>
                <w:color w:val="000000"/>
                <w:sz w:val="22"/>
              </w:rPr>
            </w:pPr>
            <w:r>
              <w:rPr>
                <w:rFonts w:ascii="宋体" w:hAnsi="宋体" w:eastAsia="宋体" w:cs="Times New Roman"/>
                <w:b w:val="0"/>
                <w:bCs/>
                <w:color w:val="000000"/>
                <w:sz w:val="22"/>
              </w:rPr>
              <w:t>初级能源消耗</w:t>
            </w:r>
          </w:p>
        </w:tc>
        <w:tc>
          <w:tcPr>
            <w:tcW w:w="1667" w:type="pct"/>
            <w:vAlign w:val="center"/>
          </w:tcPr>
          <w:p w14:paraId="14A8895F">
            <w:pPr>
              <w:jc w:val="center"/>
              <w:rPr>
                <w:rFonts w:ascii="宋体" w:hAnsi="宋体" w:eastAsia="宋体" w:cs="Times New Roman"/>
                <w:bCs/>
                <w:color w:val="000000"/>
                <w:sz w:val="22"/>
              </w:rPr>
            </w:pPr>
            <w:r>
              <w:rPr>
                <w:rFonts w:ascii="宋体" w:hAnsi="宋体" w:eastAsia="宋体" w:cs="Times New Roman"/>
                <w:bCs/>
                <w:color w:val="000000"/>
                <w:sz w:val="22"/>
              </w:rPr>
              <w:t xml:space="preserve">MJ </w:t>
            </w:r>
          </w:p>
        </w:tc>
        <w:tc>
          <w:tcPr>
            <w:tcW w:w="1667" w:type="pct"/>
            <w:vAlign w:val="center"/>
          </w:tcPr>
          <w:p w14:paraId="0CA32965">
            <w:pPr>
              <w:jc w:val="center"/>
              <w:rPr>
                <w:rFonts w:ascii="宋体" w:hAnsi="宋体" w:eastAsia="宋体" w:cs="Times New Roman"/>
                <w:bCs/>
                <w:color w:val="000000"/>
                <w:sz w:val="22"/>
              </w:rPr>
            </w:pPr>
            <w:r>
              <w:rPr>
                <w:rFonts w:ascii="宋体" w:hAnsi="宋体" w:eastAsia="宋体" w:cs="Times New Roman"/>
                <w:bCs/>
                <w:color w:val="000000"/>
                <w:sz w:val="22"/>
              </w:rPr>
              <w:t>硬煤,褐煤,天然气...</w:t>
            </w:r>
          </w:p>
        </w:tc>
      </w:tr>
      <w:tr w14:paraId="24C0BFD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7" w:type="pct"/>
            <w:vAlign w:val="center"/>
          </w:tcPr>
          <w:p w14:paraId="5F62413D">
            <w:pPr>
              <w:jc w:val="center"/>
              <w:rPr>
                <w:rFonts w:ascii="宋体" w:hAnsi="宋体" w:eastAsia="宋体" w:cs="Times New Roman"/>
                <w:b w:val="0"/>
                <w:bCs w:val="0"/>
                <w:color w:val="000000"/>
                <w:sz w:val="22"/>
              </w:rPr>
            </w:pPr>
            <w:r>
              <w:rPr>
                <w:rFonts w:ascii="宋体" w:hAnsi="宋体" w:eastAsia="宋体" w:cs="Times New Roman"/>
                <w:b w:val="0"/>
                <w:bCs/>
                <w:color w:val="000000"/>
                <w:sz w:val="22"/>
              </w:rPr>
              <w:t>非生物资源消耗</w:t>
            </w:r>
          </w:p>
        </w:tc>
        <w:tc>
          <w:tcPr>
            <w:tcW w:w="1667" w:type="pct"/>
            <w:vAlign w:val="center"/>
          </w:tcPr>
          <w:p w14:paraId="43A44FF1">
            <w:pPr>
              <w:jc w:val="center"/>
              <w:rPr>
                <w:rFonts w:ascii="宋体" w:hAnsi="宋体" w:eastAsia="宋体" w:cs="Times New Roman"/>
                <w:bCs/>
                <w:color w:val="000000"/>
                <w:sz w:val="22"/>
              </w:rPr>
            </w:pPr>
            <w:r>
              <w:rPr>
                <w:rFonts w:ascii="宋体" w:hAnsi="宋体" w:eastAsia="宋体" w:cs="Times New Roman"/>
                <w:bCs/>
                <w:color w:val="000000"/>
                <w:sz w:val="22"/>
              </w:rPr>
              <w:t>kg Sb eq.</w:t>
            </w:r>
          </w:p>
        </w:tc>
        <w:tc>
          <w:tcPr>
            <w:tcW w:w="1667" w:type="pct"/>
            <w:vAlign w:val="center"/>
          </w:tcPr>
          <w:p w14:paraId="0BFBB771">
            <w:pPr>
              <w:jc w:val="center"/>
              <w:rPr>
                <w:rFonts w:ascii="宋体" w:hAnsi="宋体" w:eastAsia="宋体" w:cs="Times New Roman"/>
                <w:bCs/>
                <w:color w:val="000000"/>
                <w:sz w:val="22"/>
              </w:rPr>
            </w:pPr>
            <w:r>
              <w:rPr>
                <w:rFonts w:ascii="宋体" w:hAnsi="宋体" w:eastAsia="宋体" w:cs="Times New Roman"/>
                <w:bCs/>
                <w:color w:val="000000"/>
                <w:sz w:val="22"/>
              </w:rPr>
              <w:t>铁</w:t>
            </w:r>
            <w:r>
              <w:rPr>
                <w:rFonts w:hint="eastAsia" w:ascii="宋体" w:hAnsi="宋体" w:eastAsia="宋体" w:cs="Times New Roman"/>
                <w:bCs/>
                <w:color w:val="000000"/>
                <w:sz w:val="22"/>
              </w:rPr>
              <w:t>,</w:t>
            </w:r>
            <w:r>
              <w:rPr>
                <w:rFonts w:ascii="宋体" w:hAnsi="宋体" w:eastAsia="宋体" w:cs="Times New Roman"/>
                <w:bCs/>
                <w:color w:val="000000"/>
                <w:sz w:val="22"/>
              </w:rPr>
              <w:t>锰</w:t>
            </w:r>
            <w:r>
              <w:rPr>
                <w:rFonts w:hint="eastAsia" w:ascii="宋体" w:hAnsi="宋体" w:eastAsia="宋体" w:cs="Times New Roman"/>
                <w:bCs/>
                <w:color w:val="000000"/>
                <w:sz w:val="22"/>
              </w:rPr>
              <w:t>,</w:t>
            </w:r>
            <w:r>
              <w:rPr>
                <w:rFonts w:ascii="宋体" w:hAnsi="宋体" w:eastAsia="宋体" w:cs="Times New Roman"/>
                <w:bCs/>
                <w:color w:val="000000"/>
                <w:sz w:val="22"/>
              </w:rPr>
              <w:t>铜…</w:t>
            </w:r>
          </w:p>
        </w:tc>
      </w:tr>
      <w:tr w14:paraId="1F75A18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7" w:type="pct"/>
            <w:vAlign w:val="center"/>
          </w:tcPr>
          <w:p w14:paraId="70D23051">
            <w:pPr>
              <w:jc w:val="center"/>
              <w:rPr>
                <w:rFonts w:ascii="宋体" w:hAnsi="宋体" w:eastAsia="宋体" w:cs="Times New Roman"/>
                <w:b w:val="0"/>
                <w:bCs w:val="0"/>
                <w:color w:val="000000"/>
                <w:sz w:val="22"/>
              </w:rPr>
            </w:pPr>
            <w:r>
              <w:rPr>
                <w:rFonts w:hint="eastAsia" w:ascii="宋体" w:hAnsi="宋体" w:eastAsia="宋体" w:cs="Times New Roman"/>
                <w:b w:val="0"/>
                <w:bCs/>
                <w:color w:val="000000"/>
                <w:sz w:val="22"/>
              </w:rPr>
              <w:t>水资源消耗</w:t>
            </w:r>
          </w:p>
        </w:tc>
        <w:tc>
          <w:tcPr>
            <w:tcW w:w="1667" w:type="pct"/>
            <w:vAlign w:val="center"/>
          </w:tcPr>
          <w:p w14:paraId="529BB241">
            <w:pPr>
              <w:jc w:val="center"/>
              <w:rPr>
                <w:rFonts w:ascii="宋体" w:hAnsi="宋体" w:eastAsia="宋体" w:cs="Times New Roman"/>
                <w:bCs/>
                <w:color w:val="000000"/>
                <w:sz w:val="22"/>
              </w:rPr>
            </w:pPr>
            <w:r>
              <w:rPr>
                <w:rFonts w:hint="eastAsia" w:ascii="宋体" w:hAnsi="宋体" w:eastAsia="宋体" w:cs="Times New Roman"/>
                <w:bCs/>
                <w:color w:val="000000"/>
                <w:sz w:val="22"/>
              </w:rPr>
              <w:t>k</w:t>
            </w:r>
            <w:r>
              <w:rPr>
                <w:rFonts w:ascii="宋体" w:hAnsi="宋体" w:eastAsia="宋体" w:cs="Times New Roman"/>
                <w:bCs/>
                <w:color w:val="000000"/>
                <w:sz w:val="22"/>
              </w:rPr>
              <w:t>g</w:t>
            </w:r>
          </w:p>
        </w:tc>
        <w:tc>
          <w:tcPr>
            <w:tcW w:w="1667" w:type="pct"/>
            <w:vAlign w:val="center"/>
          </w:tcPr>
          <w:p w14:paraId="5E83DA47">
            <w:pPr>
              <w:jc w:val="center"/>
              <w:rPr>
                <w:rFonts w:ascii="宋体" w:hAnsi="宋体" w:eastAsia="宋体" w:cs="Times New Roman"/>
                <w:bCs/>
                <w:color w:val="000000"/>
                <w:sz w:val="22"/>
              </w:rPr>
            </w:pPr>
            <w:r>
              <w:rPr>
                <w:rFonts w:ascii="宋体" w:hAnsi="宋体" w:eastAsia="宋体" w:cs="Times New Roman"/>
                <w:bCs/>
                <w:color w:val="000000"/>
                <w:sz w:val="22"/>
              </w:rPr>
              <w:t>淡水</w:t>
            </w:r>
            <w:r>
              <w:rPr>
                <w:rFonts w:hint="eastAsia" w:ascii="宋体" w:hAnsi="宋体" w:eastAsia="宋体" w:cs="Times New Roman"/>
                <w:bCs/>
                <w:color w:val="000000"/>
                <w:sz w:val="22"/>
              </w:rPr>
              <w:t>,</w:t>
            </w:r>
            <w:r>
              <w:rPr>
                <w:rFonts w:ascii="宋体" w:hAnsi="宋体" w:eastAsia="宋体" w:cs="Times New Roman"/>
                <w:bCs/>
                <w:color w:val="000000"/>
                <w:sz w:val="22"/>
              </w:rPr>
              <w:t>地表水</w:t>
            </w:r>
            <w:r>
              <w:rPr>
                <w:rFonts w:hint="eastAsia" w:ascii="宋体" w:hAnsi="宋体" w:eastAsia="宋体" w:cs="Times New Roman"/>
                <w:bCs/>
                <w:color w:val="000000"/>
                <w:sz w:val="22"/>
              </w:rPr>
              <w:t>,</w:t>
            </w:r>
            <w:r>
              <w:rPr>
                <w:rFonts w:ascii="宋体" w:hAnsi="宋体" w:eastAsia="宋体" w:cs="Times New Roman"/>
                <w:bCs/>
                <w:color w:val="000000"/>
                <w:sz w:val="22"/>
              </w:rPr>
              <w:t>地下水…</w:t>
            </w:r>
          </w:p>
        </w:tc>
      </w:tr>
      <w:tr w14:paraId="791F449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7" w:type="pct"/>
            <w:vAlign w:val="center"/>
          </w:tcPr>
          <w:p w14:paraId="081E180E">
            <w:pPr>
              <w:jc w:val="center"/>
              <w:rPr>
                <w:rFonts w:ascii="宋体" w:hAnsi="宋体" w:eastAsia="宋体" w:cs="Times New Roman"/>
                <w:b w:val="0"/>
                <w:bCs w:val="0"/>
                <w:color w:val="000000"/>
                <w:sz w:val="22"/>
              </w:rPr>
            </w:pPr>
            <w:r>
              <w:rPr>
                <w:rFonts w:ascii="宋体" w:hAnsi="宋体" w:eastAsia="宋体" w:cs="Times New Roman"/>
                <w:b w:val="0"/>
                <w:bCs/>
                <w:color w:val="000000"/>
                <w:sz w:val="22"/>
              </w:rPr>
              <w:t>酸化</w:t>
            </w:r>
          </w:p>
        </w:tc>
        <w:tc>
          <w:tcPr>
            <w:tcW w:w="1667" w:type="pct"/>
            <w:vAlign w:val="center"/>
          </w:tcPr>
          <w:p w14:paraId="7F46D1AA">
            <w:pPr>
              <w:jc w:val="center"/>
              <w:rPr>
                <w:rFonts w:ascii="宋体" w:hAnsi="宋体" w:eastAsia="宋体" w:cs="Times New Roman"/>
                <w:bCs/>
                <w:color w:val="000000"/>
                <w:sz w:val="22"/>
              </w:rPr>
            </w:pPr>
            <w:r>
              <w:rPr>
                <w:rFonts w:hint="eastAsia" w:ascii="宋体" w:hAnsi="宋体" w:eastAsia="宋体" w:cs="Times New Roman"/>
                <w:bCs/>
                <w:color w:val="000000"/>
                <w:sz w:val="22"/>
              </w:rPr>
              <w:t>kg</w:t>
            </w:r>
            <w:r>
              <w:rPr>
                <w:rFonts w:ascii="宋体" w:hAnsi="宋体" w:eastAsia="宋体" w:cs="Times New Roman"/>
                <w:bCs/>
                <w:color w:val="000000"/>
                <w:sz w:val="22"/>
              </w:rPr>
              <w:t xml:space="preserve"> SO</w:t>
            </w:r>
            <w:r>
              <w:rPr>
                <w:rFonts w:ascii="宋体" w:hAnsi="宋体" w:eastAsia="宋体" w:cs="Times New Roman"/>
                <w:bCs/>
                <w:color w:val="000000"/>
                <w:sz w:val="22"/>
                <w:vertAlign w:val="subscript"/>
              </w:rPr>
              <w:t>2</w:t>
            </w:r>
            <w:r>
              <w:rPr>
                <w:rFonts w:ascii="宋体" w:hAnsi="宋体" w:eastAsia="宋体" w:cs="Times New Roman"/>
                <w:bCs/>
                <w:color w:val="000000"/>
                <w:sz w:val="22"/>
              </w:rPr>
              <w:t xml:space="preserve"> eq. </w:t>
            </w:r>
          </w:p>
        </w:tc>
        <w:tc>
          <w:tcPr>
            <w:tcW w:w="1667" w:type="pct"/>
            <w:vAlign w:val="center"/>
          </w:tcPr>
          <w:p w14:paraId="149ED32D">
            <w:pPr>
              <w:jc w:val="center"/>
              <w:rPr>
                <w:rFonts w:ascii="宋体" w:hAnsi="宋体" w:eastAsia="宋体" w:cs="Times New Roman"/>
                <w:bCs/>
                <w:color w:val="000000"/>
                <w:sz w:val="22"/>
              </w:rPr>
            </w:pPr>
            <w:r>
              <w:rPr>
                <w:rFonts w:ascii="宋体" w:hAnsi="宋体" w:eastAsia="宋体" w:cs="Times New Roman"/>
                <w:bCs/>
                <w:color w:val="000000"/>
                <w:sz w:val="22"/>
              </w:rPr>
              <w:t>SO</w:t>
            </w:r>
            <w:r>
              <w:rPr>
                <w:rFonts w:ascii="宋体" w:hAnsi="宋体" w:eastAsia="宋体" w:cs="Times New Roman"/>
                <w:bCs/>
                <w:color w:val="000000"/>
                <w:sz w:val="22"/>
                <w:vertAlign w:val="subscript"/>
              </w:rPr>
              <w:t>2</w:t>
            </w:r>
            <w:r>
              <w:rPr>
                <w:rFonts w:ascii="宋体" w:hAnsi="宋体" w:eastAsia="宋体" w:cs="Times New Roman"/>
                <w:bCs/>
                <w:color w:val="000000"/>
                <w:sz w:val="22"/>
              </w:rPr>
              <w:t>, NO</w:t>
            </w:r>
            <w:r>
              <w:rPr>
                <w:rFonts w:ascii="宋体" w:hAnsi="宋体" w:eastAsia="宋体" w:cs="Times New Roman"/>
                <w:bCs/>
                <w:color w:val="000000"/>
                <w:sz w:val="22"/>
                <w:vertAlign w:val="subscript"/>
              </w:rPr>
              <w:t>x</w:t>
            </w:r>
            <w:r>
              <w:rPr>
                <w:rFonts w:ascii="宋体" w:hAnsi="宋体" w:eastAsia="宋体" w:cs="Times New Roman"/>
                <w:bCs/>
                <w:color w:val="000000"/>
                <w:sz w:val="22"/>
              </w:rPr>
              <w:t>, NH</w:t>
            </w:r>
            <w:r>
              <w:rPr>
                <w:rFonts w:ascii="宋体" w:hAnsi="宋体" w:eastAsia="宋体" w:cs="Times New Roman"/>
                <w:bCs/>
                <w:color w:val="000000"/>
                <w:sz w:val="22"/>
                <w:vertAlign w:val="subscript"/>
              </w:rPr>
              <w:t>3</w:t>
            </w:r>
            <w:r>
              <w:rPr>
                <w:rFonts w:ascii="宋体" w:hAnsi="宋体" w:eastAsia="宋体" w:cs="Times New Roman"/>
                <w:bCs/>
                <w:color w:val="000000"/>
                <w:sz w:val="22"/>
              </w:rPr>
              <w:t>…</w:t>
            </w:r>
          </w:p>
        </w:tc>
      </w:tr>
      <w:tr w14:paraId="0965F8D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7" w:type="pct"/>
            <w:vAlign w:val="center"/>
          </w:tcPr>
          <w:p w14:paraId="0EFF2E8E">
            <w:pPr>
              <w:jc w:val="center"/>
              <w:rPr>
                <w:rFonts w:ascii="宋体" w:hAnsi="宋体" w:eastAsia="宋体" w:cs="Times New Roman"/>
                <w:b w:val="0"/>
                <w:bCs w:val="0"/>
                <w:color w:val="000000"/>
                <w:sz w:val="22"/>
              </w:rPr>
            </w:pPr>
            <w:r>
              <w:rPr>
                <w:rFonts w:ascii="宋体" w:hAnsi="宋体" w:eastAsia="宋体" w:cs="Times New Roman"/>
                <w:b w:val="0"/>
                <w:bCs/>
                <w:color w:val="000000"/>
                <w:sz w:val="22"/>
              </w:rPr>
              <w:t>富营养化</w:t>
            </w:r>
          </w:p>
        </w:tc>
        <w:tc>
          <w:tcPr>
            <w:tcW w:w="1667" w:type="pct"/>
            <w:vAlign w:val="center"/>
          </w:tcPr>
          <w:p w14:paraId="52EEEB2E">
            <w:pPr>
              <w:jc w:val="center"/>
              <w:rPr>
                <w:rFonts w:ascii="宋体" w:hAnsi="宋体" w:eastAsia="宋体" w:cs="Times New Roman"/>
                <w:bCs/>
                <w:color w:val="000000"/>
                <w:sz w:val="22"/>
              </w:rPr>
            </w:pPr>
            <w:r>
              <w:rPr>
                <w:rFonts w:ascii="宋体" w:hAnsi="宋体" w:eastAsia="宋体" w:cs="Times New Roman"/>
                <w:bCs/>
                <w:color w:val="000000"/>
                <w:sz w:val="22"/>
              </w:rPr>
              <w:t>kg PO4</w:t>
            </w:r>
            <w:r>
              <w:rPr>
                <w:rFonts w:ascii="宋体" w:hAnsi="宋体" w:eastAsia="宋体" w:cs="Times New Roman"/>
                <w:bCs/>
                <w:color w:val="000000"/>
                <w:sz w:val="22"/>
                <w:vertAlign w:val="superscript"/>
              </w:rPr>
              <w:t>3</w:t>
            </w:r>
            <w:r>
              <w:rPr>
                <w:rFonts w:hint="eastAsia" w:ascii="宋体" w:hAnsi="宋体" w:eastAsia="宋体" w:cs="Times New Roman"/>
                <w:bCs/>
                <w:color w:val="000000"/>
                <w:sz w:val="22"/>
                <w:vertAlign w:val="superscript"/>
              </w:rPr>
              <w:t>-</w:t>
            </w:r>
            <w:r>
              <w:rPr>
                <w:rFonts w:ascii="宋体" w:hAnsi="宋体" w:eastAsia="宋体" w:cs="Times New Roman"/>
                <w:bCs/>
                <w:color w:val="000000"/>
                <w:sz w:val="22"/>
              </w:rPr>
              <w:t xml:space="preserve"> eq. </w:t>
            </w:r>
          </w:p>
        </w:tc>
        <w:tc>
          <w:tcPr>
            <w:tcW w:w="1667" w:type="pct"/>
            <w:vAlign w:val="center"/>
          </w:tcPr>
          <w:p w14:paraId="364FE0D1">
            <w:pPr>
              <w:jc w:val="center"/>
              <w:rPr>
                <w:rFonts w:ascii="宋体" w:hAnsi="宋体" w:eastAsia="宋体" w:cs="Times New Roman"/>
                <w:bCs/>
                <w:color w:val="000000"/>
                <w:sz w:val="22"/>
              </w:rPr>
            </w:pPr>
            <w:r>
              <w:rPr>
                <w:rFonts w:ascii="宋体" w:hAnsi="宋体" w:eastAsia="宋体" w:cs="Times New Roman"/>
                <w:bCs/>
                <w:color w:val="000000"/>
                <w:sz w:val="22"/>
              </w:rPr>
              <w:t>NH</w:t>
            </w:r>
            <w:r>
              <w:rPr>
                <w:rFonts w:ascii="宋体" w:hAnsi="宋体" w:eastAsia="宋体" w:cs="Times New Roman"/>
                <w:bCs/>
                <w:color w:val="000000"/>
                <w:sz w:val="22"/>
                <w:vertAlign w:val="subscript"/>
              </w:rPr>
              <w:softHyphen/>
            </w:r>
            <w:r>
              <w:rPr>
                <w:rFonts w:ascii="宋体" w:hAnsi="宋体" w:eastAsia="宋体" w:cs="Times New Roman"/>
                <w:bCs/>
                <w:color w:val="000000"/>
                <w:sz w:val="22"/>
                <w:vertAlign w:val="subscript"/>
              </w:rPr>
              <w:t>3</w:t>
            </w:r>
            <w:r>
              <w:rPr>
                <w:rFonts w:hint="eastAsia" w:ascii="宋体" w:hAnsi="宋体" w:eastAsia="宋体" w:cs="Times New Roman"/>
                <w:bCs/>
                <w:color w:val="000000"/>
                <w:sz w:val="22"/>
              </w:rPr>
              <w:t>，</w:t>
            </w:r>
            <w:r>
              <w:rPr>
                <w:rFonts w:ascii="宋体" w:hAnsi="宋体" w:eastAsia="宋体" w:cs="Times New Roman"/>
                <w:bCs/>
                <w:color w:val="000000"/>
                <w:sz w:val="22"/>
              </w:rPr>
              <w:t>NH</w:t>
            </w:r>
            <w:r>
              <w:rPr>
                <w:rFonts w:ascii="宋体" w:hAnsi="宋体" w:eastAsia="宋体" w:cs="Times New Roman"/>
                <w:bCs/>
                <w:color w:val="000000"/>
                <w:sz w:val="22"/>
                <w:vertAlign w:val="subscript"/>
              </w:rPr>
              <w:t>4</w:t>
            </w:r>
            <w:r>
              <w:rPr>
                <w:rFonts w:ascii="宋体" w:hAnsi="宋体" w:eastAsia="宋体" w:cs="Times New Roman"/>
                <w:bCs/>
                <w:color w:val="000000"/>
                <w:sz w:val="22"/>
              </w:rPr>
              <w:t>-N</w:t>
            </w:r>
            <w:r>
              <w:rPr>
                <w:rFonts w:hint="eastAsia" w:ascii="宋体" w:hAnsi="宋体" w:eastAsia="宋体" w:cs="Times New Roman"/>
                <w:bCs/>
                <w:color w:val="000000"/>
                <w:sz w:val="22"/>
              </w:rPr>
              <w:t>，</w:t>
            </w:r>
            <w:r>
              <w:rPr>
                <w:rFonts w:ascii="宋体" w:hAnsi="宋体" w:eastAsia="宋体" w:cs="Times New Roman"/>
                <w:bCs/>
                <w:color w:val="000000"/>
                <w:sz w:val="22"/>
              </w:rPr>
              <w:t>COD…</w:t>
            </w:r>
          </w:p>
        </w:tc>
      </w:tr>
      <w:tr w14:paraId="1B4500C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7" w:type="pct"/>
            <w:vAlign w:val="center"/>
          </w:tcPr>
          <w:p w14:paraId="48475C21">
            <w:pPr>
              <w:jc w:val="center"/>
              <w:rPr>
                <w:rFonts w:ascii="宋体" w:hAnsi="宋体" w:eastAsia="宋体" w:cs="Times New Roman"/>
                <w:b w:val="0"/>
                <w:bCs w:val="0"/>
                <w:color w:val="000000"/>
                <w:sz w:val="22"/>
              </w:rPr>
            </w:pPr>
            <w:r>
              <w:rPr>
                <w:rFonts w:ascii="宋体" w:hAnsi="宋体" w:eastAsia="宋体" w:cs="Times New Roman"/>
                <w:b w:val="0"/>
                <w:bCs/>
                <w:color w:val="000000"/>
                <w:sz w:val="22"/>
              </w:rPr>
              <w:t>可吸入无机物</w:t>
            </w:r>
          </w:p>
        </w:tc>
        <w:tc>
          <w:tcPr>
            <w:tcW w:w="1667" w:type="pct"/>
            <w:vAlign w:val="center"/>
          </w:tcPr>
          <w:p w14:paraId="7D102C6B">
            <w:pPr>
              <w:jc w:val="center"/>
              <w:rPr>
                <w:rFonts w:ascii="宋体" w:hAnsi="宋体" w:eastAsia="宋体" w:cs="Times New Roman"/>
                <w:bCs/>
                <w:color w:val="000000"/>
                <w:sz w:val="22"/>
              </w:rPr>
            </w:pPr>
            <w:r>
              <w:rPr>
                <w:rFonts w:ascii="宋体" w:hAnsi="宋体" w:eastAsia="宋体" w:cs="Times New Roman"/>
                <w:bCs/>
                <w:color w:val="000000"/>
                <w:sz w:val="22"/>
              </w:rPr>
              <w:t xml:space="preserve">kg PM2.5 eq. </w:t>
            </w:r>
          </w:p>
        </w:tc>
        <w:tc>
          <w:tcPr>
            <w:tcW w:w="1667" w:type="pct"/>
            <w:vAlign w:val="center"/>
          </w:tcPr>
          <w:p w14:paraId="2E6576CB">
            <w:pPr>
              <w:jc w:val="center"/>
              <w:rPr>
                <w:rFonts w:ascii="宋体" w:hAnsi="宋体" w:eastAsia="宋体" w:cs="Times New Roman"/>
                <w:bCs/>
                <w:color w:val="000000"/>
                <w:sz w:val="22"/>
              </w:rPr>
            </w:pPr>
            <w:r>
              <w:rPr>
                <w:rFonts w:ascii="宋体" w:hAnsi="宋体" w:eastAsia="宋体" w:cs="Times New Roman"/>
                <w:bCs/>
                <w:color w:val="000000"/>
                <w:sz w:val="22"/>
              </w:rPr>
              <w:t>CO, PM</w:t>
            </w:r>
            <w:r>
              <w:rPr>
                <w:rFonts w:ascii="宋体" w:hAnsi="宋体" w:eastAsia="宋体" w:cs="Times New Roman"/>
                <w:bCs/>
                <w:color w:val="000000"/>
                <w:sz w:val="22"/>
                <w:vertAlign w:val="subscript"/>
              </w:rPr>
              <w:t>10</w:t>
            </w:r>
            <w:r>
              <w:rPr>
                <w:rFonts w:ascii="宋体" w:hAnsi="宋体" w:eastAsia="宋体" w:cs="Times New Roman"/>
                <w:bCs/>
                <w:color w:val="000000"/>
                <w:sz w:val="22"/>
              </w:rPr>
              <w:t>, PM</w:t>
            </w:r>
            <w:r>
              <w:rPr>
                <w:rFonts w:ascii="宋体" w:hAnsi="宋体" w:eastAsia="宋体" w:cs="Times New Roman"/>
                <w:bCs/>
                <w:color w:val="000000"/>
                <w:sz w:val="22"/>
                <w:vertAlign w:val="subscript"/>
              </w:rPr>
              <w:t>2.5</w:t>
            </w:r>
            <w:r>
              <w:rPr>
                <w:rFonts w:ascii="宋体" w:hAnsi="宋体" w:eastAsia="宋体" w:cs="Times New Roman"/>
                <w:bCs/>
                <w:color w:val="000000"/>
                <w:sz w:val="22"/>
              </w:rPr>
              <w:t>…</w:t>
            </w:r>
          </w:p>
        </w:tc>
      </w:tr>
      <w:tr w14:paraId="5529E21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7" w:type="pct"/>
            <w:vAlign w:val="center"/>
          </w:tcPr>
          <w:p w14:paraId="3AE95F9C">
            <w:pPr>
              <w:jc w:val="center"/>
              <w:rPr>
                <w:rFonts w:ascii="宋体" w:hAnsi="宋体" w:eastAsia="宋体" w:cs="Times New Roman"/>
                <w:b w:val="0"/>
                <w:bCs w:val="0"/>
                <w:color w:val="000000"/>
                <w:sz w:val="22"/>
              </w:rPr>
            </w:pPr>
            <w:r>
              <w:rPr>
                <w:rFonts w:hint="eastAsia" w:ascii="宋体" w:hAnsi="宋体" w:eastAsia="宋体" w:cs="Times New Roman"/>
                <w:b w:val="0"/>
                <w:bCs/>
                <w:color w:val="000000"/>
                <w:sz w:val="22"/>
              </w:rPr>
              <w:t>臭氧层消耗</w:t>
            </w:r>
          </w:p>
        </w:tc>
        <w:tc>
          <w:tcPr>
            <w:tcW w:w="1667" w:type="pct"/>
            <w:vAlign w:val="center"/>
          </w:tcPr>
          <w:p w14:paraId="23211041">
            <w:pPr>
              <w:jc w:val="center"/>
              <w:rPr>
                <w:rFonts w:ascii="宋体" w:hAnsi="宋体" w:eastAsia="宋体" w:cs="Times New Roman"/>
                <w:bCs/>
                <w:color w:val="000000"/>
                <w:sz w:val="22"/>
              </w:rPr>
            </w:pPr>
            <w:r>
              <w:rPr>
                <w:rFonts w:ascii="宋体" w:hAnsi="宋体" w:eastAsia="宋体" w:cs="Times New Roman"/>
                <w:bCs/>
                <w:color w:val="000000"/>
                <w:sz w:val="22"/>
              </w:rPr>
              <w:t>kg CFC-11 eq</w:t>
            </w:r>
            <w:r>
              <w:rPr>
                <w:rFonts w:hint="eastAsia" w:ascii="宋体" w:hAnsi="宋体" w:eastAsia="宋体" w:cs="Times New Roman"/>
                <w:bCs/>
                <w:color w:val="000000"/>
                <w:sz w:val="22"/>
              </w:rPr>
              <w:t>.</w:t>
            </w:r>
          </w:p>
        </w:tc>
        <w:tc>
          <w:tcPr>
            <w:tcW w:w="1667" w:type="pct"/>
            <w:vAlign w:val="center"/>
          </w:tcPr>
          <w:p w14:paraId="4BA5B5B4">
            <w:pPr>
              <w:jc w:val="center"/>
              <w:rPr>
                <w:rFonts w:ascii="宋体" w:hAnsi="宋体" w:eastAsia="宋体" w:cs="Times New Roman"/>
                <w:bCs/>
                <w:color w:val="000000"/>
                <w:sz w:val="22"/>
              </w:rPr>
            </w:pPr>
            <w:r>
              <w:rPr>
                <w:rFonts w:ascii="宋体" w:hAnsi="宋体" w:eastAsia="宋体" w:cs="Times New Roman"/>
                <w:bCs/>
                <w:color w:val="000000"/>
                <w:sz w:val="22"/>
              </w:rPr>
              <w:t>CCl</w:t>
            </w:r>
            <w:r>
              <w:rPr>
                <w:rFonts w:ascii="宋体" w:hAnsi="宋体" w:eastAsia="宋体" w:cs="Times New Roman"/>
                <w:bCs/>
                <w:color w:val="000000"/>
                <w:sz w:val="22"/>
                <w:vertAlign w:val="subscript"/>
              </w:rPr>
              <w:t>4</w:t>
            </w:r>
            <w:r>
              <w:rPr>
                <w:rFonts w:ascii="宋体" w:hAnsi="宋体" w:eastAsia="宋体" w:cs="Times New Roman"/>
                <w:bCs/>
                <w:color w:val="000000"/>
                <w:sz w:val="22"/>
              </w:rPr>
              <w:t>, C</w:t>
            </w:r>
            <w:r>
              <w:rPr>
                <w:rFonts w:ascii="宋体" w:hAnsi="宋体" w:eastAsia="宋体" w:cs="Times New Roman"/>
                <w:bCs/>
                <w:color w:val="000000"/>
                <w:sz w:val="22"/>
                <w:vertAlign w:val="subscript"/>
              </w:rPr>
              <w:t>2</w:t>
            </w:r>
            <w:r>
              <w:rPr>
                <w:rFonts w:ascii="宋体" w:hAnsi="宋体" w:eastAsia="宋体" w:cs="Times New Roman"/>
                <w:bCs/>
                <w:color w:val="000000"/>
                <w:sz w:val="22"/>
              </w:rPr>
              <w:t>H</w:t>
            </w:r>
            <w:r>
              <w:rPr>
                <w:rFonts w:ascii="宋体" w:hAnsi="宋体" w:eastAsia="宋体" w:cs="Times New Roman"/>
                <w:bCs/>
                <w:color w:val="000000"/>
                <w:sz w:val="22"/>
                <w:vertAlign w:val="subscript"/>
              </w:rPr>
              <w:t>3</w:t>
            </w:r>
            <w:r>
              <w:rPr>
                <w:rFonts w:ascii="宋体" w:hAnsi="宋体" w:eastAsia="宋体" w:cs="Times New Roman"/>
                <w:bCs/>
                <w:color w:val="000000"/>
                <w:sz w:val="22"/>
              </w:rPr>
              <w:t>Cl</w:t>
            </w:r>
            <w:r>
              <w:rPr>
                <w:rFonts w:ascii="宋体" w:hAnsi="宋体" w:eastAsia="宋体" w:cs="Times New Roman"/>
                <w:bCs/>
                <w:color w:val="000000"/>
                <w:sz w:val="22"/>
                <w:vertAlign w:val="subscript"/>
              </w:rPr>
              <w:t>3</w:t>
            </w:r>
            <w:r>
              <w:rPr>
                <w:rFonts w:ascii="宋体" w:hAnsi="宋体" w:eastAsia="宋体" w:cs="Times New Roman"/>
                <w:bCs/>
                <w:color w:val="000000"/>
                <w:sz w:val="22"/>
              </w:rPr>
              <w:t>, CH</w:t>
            </w:r>
            <w:r>
              <w:rPr>
                <w:rFonts w:ascii="宋体" w:hAnsi="宋体" w:eastAsia="宋体" w:cs="Times New Roman"/>
                <w:bCs/>
                <w:color w:val="000000"/>
                <w:sz w:val="22"/>
                <w:vertAlign w:val="subscript"/>
              </w:rPr>
              <w:t>3</w:t>
            </w:r>
            <w:r>
              <w:rPr>
                <w:rFonts w:ascii="宋体" w:hAnsi="宋体" w:eastAsia="宋体" w:cs="Times New Roman"/>
                <w:bCs/>
                <w:color w:val="000000"/>
                <w:sz w:val="22"/>
              </w:rPr>
              <w:t>Br…</w:t>
            </w:r>
          </w:p>
        </w:tc>
      </w:tr>
      <w:tr w14:paraId="460F8E8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7" w:type="pct"/>
            <w:vAlign w:val="center"/>
          </w:tcPr>
          <w:p w14:paraId="4303E8CD">
            <w:pPr>
              <w:spacing w:line="30" w:lineRule="atLeast"/>
              <w:jc w:val="center"/>
              <w:rPr>
                <w:rFonts w:ascii="宋体" w:hAnsi="宋体" w:eastAsia="宋体" w:cs="Times New Roman"/>
                <w:b w:val="0"/>
                <w:bCs w:val="0"/>
                <w:color w:val="000000"/>
                <w:sz w:val="22"/>
              </w:rPr>
            </w:pPr>
            <w:r>
              <w:rPr>
                <w:rFonts w:hint="eastAsia" w:ascii="宋体" w:hAnsi="宋体" w:eastAsia="宋体" w:cs="Times New Roman"/>
                <w:b w:val="0"/>
                <w:bCs/>
                <w:color w:val="000000"/>
                <w:sz w:val="22"/>
              </w:rPr>
              <w:t>光化学臭氧合成</w:t>
            </w:r>
          </w:p>
        </w:tc>
        <w:tc>
          <w:tcPr>
            <w:tcW w:w="1667" w:type="pct"/>
            <w:vAlign w:val="center"/>
          </w:tcPr>
          <w:p w14:paraId="77DA68E1">
            <w:pPr>
              <w:spacing w:line="30" w:lineRule="atLeast"/>
              <w:jc w:val="center"/>
              <w:rPr>
                <w:rFonts w:ascii="宋体" w:hAnsi="宋体" w:eastAsia="宋体" w:cs="Times New Roman"/>
                <w:bCs/>
                <w:color w:val="000000"/>
                <w:sz w:val="22"/>
              </w:rPr>
            </w:pPr>
            <w:r>
              <w:rPr>
                <w:rFonts w:hint="eastAsia" w:ascii="宋体" w:hAnsi="宋体" w:eastAsia="宋体" w:cs="Times New Roman"/>
                <w:bCs/>
                <w:color w:val="000000"/>
                <w:sz w:val="22"/>
              </w:rPr>
              <w:t>kg NMVOC eq</w:t>
            </w:r>
            <w:r>
              <w:rPr>
                <w:rFonts w:ascii="宋体" w:hAnsi="宋体" w:eastAsia="宋体" w:cs="Times New Roman"/>
                <w:bCs/>
                <w:color w:val="000000"/>
                <w:sz w:val="22"/>
              </w:rPr>
              <w:t>.</w:t>
            </w:r>
          </w:p>
        </w:tc>
        <w:tc>
          <w:tcPr>
            <w:tcW w:w="1667" w:type="pct"/>
            <w:vAlign w:val="center"/>
          </w:tcPr>
          <w:p w14:paraId="4BFEEF3E">
            <w:pPr>
              <w:spacing w:line="30" w:lineRule="atLeast"/>
              <w:jc w:val="center"/>
              <w:rPr>
                <w:rFonts w:ascii="宋体" w:hAnsi="宋体" w:eastAsia="宋体" w:cs="Times New Roman"/>
                <w:bCs/>
                <w:color w:val="000000"/>
                <w:sz w:val="22"/>
              </w:rPr>
            </w:pPr>
            <w:r>
              <w:rPr>
                <w:rFonts w:ascii="宋体" w:hAnsi="宋体" w:eastAsia="宋体" w:cs="Times New Roman"/>
                <w:bCs/>
                <w:color w:val="000000"/>
                <w:sz w:val="22"/>
              </w:rPr>
              <w:t>C</w:t>
            </w:r>
            <w:r>
              <w:rPr>
                <w:rFonts w:ascii="宋体" w:hAnsi="宋体" w:eastAsia="宋体" w:cs="Times New Roman"/>
                <w:bCs/>
                <w:color w:val="000000"/>
                <w:sz w:val="22"/>
                <w:vertAlign w:val="subscript"/>
              </w:rPr>
              <w:t>2</w:t>
            </w:r>
            <w:r>
              <w:rPr>
                <w:rFonts w:ascii="宋体" w:hAnsi="宋体" w:eastAsia="宋体" w:cs="Times New Roman"/>
                <w:bCs/>
                <w:color w:val="000000"/>
                <w:sz w:val="22"/>
              </w:rPr>
              <w:t>H</w:t>
            </w:r>
            <w:r>
              <w:rPr>
                <w:rFonts w:ascii="宋体" w:hAnsi="宋体" w:eastAsia="宋体" w:cs="Times New Roman"/>
                <w:bCs/>
                <w:color w:val="000000"/>
                <w:sz w:val="22"/>
                <w:vertAlign w:val="subscript"/>
              </w:rPr>
              <w:t>6</w:t>
            </w:r>
            <w:r>
              <w:rPr>
                <w:rFonts w:hint="eastAsia" w:ascii="宋体" w:hAnsi="宋体" w:eastAsia="宋体" w:cs="Times New Roman"/>
                <w:bCs/>
                <w:color w:val="000000"/>
                <w:sz w:val="22"/>
              </w:rPr>
              <w:t xml:space="preserve">, </w:t>
            </w:r>
            <w:r>
              <w:rPr>
                <w:rFonts w:ascii="宋体" w:hAnsi="宋体" w:eastAsia="宋体" w:cs="Times New Roman"/>
                <w:bCs/>
                <w:color w:val="000000"/>
                <w:sz w:val="22"/>
              </w:rPr>
              <w:t>C</w:t>
            </w:r>
            <w:r>
              <w:rPr>
                <w:rFonts w:ascii="宋体" w:hAnsi="宋体" w:eastAsia="宋体" w:cs="Times New Roman"/>
                <w:bCs/>
                <w:color w:val="000000"/>
                <w:sz w:val="22"/>
                <w:vertAlign w:val="subscript"/>
              </w:rPr>
              <w:t>2</w:t>
            </w:r>
            <w:r>
              <w:rPr>
                <w:rFonts w:ascii="宋体" w:hAnsi="宋体" w:eastAsia="宋体" w:cs="Times New Roman"/>
                <w:bCs/>
                <w:color w:val="000000"/>
                <w:sz w:val="22"/>
              </w:rPr>
              <w:t>H</w:t>
            </w:r>
            <w:r>
              <w:rPr>
                <w:rFonts w:ascii="宋体" w:hAnsi="宋体" w:eastAsia="宋体" w:cs="Times New Roman"/>
                <w:bCs/>
                <w:color w:val="000000"/>
                <w:sz w:val="22"/>
                <w:vertAlign w:val="subscript"/>
              </w:rPr>
              <w:t>4</w:t>
            </w:r>
            <w:r>
              <w:rPr>
                <w:rFonts w:ascii="宋体" w:hAnsi="宋体" w:eastAsia="宋体" w:cs="Times New Roman"/>
                <w:bCs/>
                <w:color w:val="000000"/>
                <w:sz w:val="22"/>
              </w:rPr>
              <w:t>…</w:t>
            </w:r>
          </w:p>
        </w:tc>
      </w:tr>
    </w:tbl>
    <w:p w14:paraId="7E87A548">
      <w:pPr>
        <w:spacing w:line="360" w:lineRule="auto"/>
        <w:ind w:firstLine="440" w:firstLineChars="200"/>
        <w:rPr>
          <w:rFonts w:ascii="Times New Roman" w:hAnsi="Times New Roman" w:eastAsia="楷体" w:cs="Times New Roman"/>
          <w:color w:val="000000"/>
          <w:sz w:val="22"/>
        </w:rPr>
      </w:pPr>
      <w:r>
        <w:rPr>
          <w:rFonts w:ascii="Times New Roman" w:hAnsi="Times New Roman" w:eastAsia="楷体" w:cs="Times New Roman"/>
          <w:color w:val="000000"/>
          <w:sz w:val="22"/>
        </w:rPr>
        <w:t>注</w:t>
      </w:r>
      <w:r>
        <w:rPr>
          <w:rFonts w:hint="eastAsia" w:ascii="Times New Roman" w:hAnsi="Times New Roman" w:eastAsia="楷体" w:cs="Times New Roman"/>
          <w:color w:val="000000"/>
          <w:sz w:val="22"/>
        </w:rPr>
        <w:t>：</w:t>
      </w:r>
      <w:r>
        <w:rPr>
          <w:rFonts w:ascii="Times New Roman" w:hAnsi="Times New Roman" w:cs="Times New Roman"/>
          <w:color w:val="000000"/>
          <w:sz w:val="22"/>
        </w:rPr>
        <w:t>eq</w:t>
      </w:r>
      <w:r>
        <w:rPr>
          <w:rFonts w:ascii="Times New Roman" w:hAnsi="Times New Roman" w:eastAsia="楷体" w:cs="Times New Roman"/>
          <w:color w:val="000000"/>
          <w:sz w:val="22"/>
        </w:rPr>
        <w:t>是</w:t>
      </w:r>
      <w:r>
        <w:rPr>
          <w:rFonts w:ascii="Times New Roman" w:hAnsi="Times New Roman" w:cs="Times New Roman"/>
          <w:color w:val="000000"/>
          <w:sz w:val="22"/>
        </w:rPr>
        <w:t>equivalent</w:t>
      </w:r>
      <w:r>
        <w:rPr>
          <w:rFonts w:ascii="Times New Roman" w:hAnsi="Times New Roman" w:eastAsia="楷体" w:cs="Times New Roman"/>
          <w:color w:val="000000"/>
          <w:sz w:val="22"/>
        </w:rPr>
        <w:t>的缩写，意为当量。例如气候变化指标是以</w:t>
      </w:r>
      <w:r>
        <w:rPr>
          <w:rFonts w:ascii="Times New Roman" w:hAnsi="Times New Roman" w:cs="Times New Roman"/>
          <w:color w:val="000000"/>
          <w:sz w:val="22"/>
        </w:rPr>
        <w:t>CO</w:t>
      </w:r>
      <w:r>
        <w:rPr>
          <w:rFonts w:ascii="Times New Roman" w:hAnsi="Times New Roman" w:cs="Times New Roman"/>
          <w:color w:val="000000"/>
          <w:sz w:val="14"/>
          <w:szCs w:val="14"/>
        </w:rPr>
        <w:t>2</w:t>
      </w:r>
      <w:r>
        <w:rPr>
          <w:rFonts w:ascii="Times New Roman" w:hAnsi="Times New Roman" w:eastAsia="楷体" w:cs="Times New Roman"/>
          <w:color w:val="000000"/>
          <w:sz w:val="22"/>
        </w:rPr>
        <w:t>为基准物质，其他各种温室气体按温室效应的强弱都有各自的</w:t>
      </w:r>
      <w:r>
        <w:rPr>
          <w:rFonts w:ascii="Times New Roman" w:hAnsi="Times New Roman" w:cs="Times New Roman"/>
          <w:color w:val="000000"/>
          <w:sz w:val="22"/>
        </w:rPr>
        <w:t>CO</w:t>
      </w:r>
      <w:r>
        <w:rPr>
          <w:rFonts w:ascii="Times New Roman" w:hAnsi="Times New Roman" w:cs="Times New Roman"/>
          <w:color w:val="000000"/>
          <w:sz w:val="14"/>
          <w:szCs w:val="14"/>
        </w:rPr>
        <w:t>2</w:t>
      </w:r>
      <w:r>
        <w:rPr>
          <w:rFonts w:ascii="Times New Roman" w:hAnsi="Times New Roman" w:eastAsia="楷体" w:cs="Times New Roman"/>
          <w:color w:val="000000"/>
          <w:sz w:val="22"/>
        </w:rPr>
        <w:t>当量因子，因此产品生命周期的各种温室气体排放量可以各自乘以当量因子，累加得到气候变化指标总量（通常也称为产品碳足迹，</w:t>
      </w:r>
      <w:r>
        <w:rPr>
          <w:rFonts w:ascii="Times New Roman" w:hAnsi="Times New Roman" w:cs="Times New Roman"/>
          <w:color w:val="000000"/>
          <w:sz w:val="22"/>
        </w:rPr>
        <w:t>Product Carbon Footprint, PCF</w:t>
      </w:r>
      <w:r>
        <w:rPr>
          <w:rFonts w:ascii="Times New Roman" w:hAnsi="Times New Roman" w:eastAsia="楷体" w:cs="Times New Roman"/>
          <w:color w:val="000000"/>
          <w:sz w:val="22"/>
        </w:rPr>
        <w:t>），其单位为</w:t>
      </w:r>
      <w:r>
        <w:rPr>
          <w:rFonts w:ascii="Times New Roman" w:hAnsi="Times New Roman" w:cs="Times New Roman"/>
          <w:color w:val="000000"/>
          <w:sz w:val="22"/>
        </w:rPr>
        <w:t>kg CO</w:t>
      </w:r>
      <w:r>
        <w:rPr>
          <w:rFonts w:ascii="Times New Roman" w:hAnsi="Times New Roman" w:cs="Times New Roman"/>
          <w:color w:val="000000"/>
          <w:sz w:val="14"/>
          <w:szCs w:val="14"/>
        </w:rPr>
        <w:t xml:space="preserve">2 </w:t>
      </w:r>
      <w:r>
        <w:rPr>
          <w:rFonts w:ascii="Times New Roman" w:hAnsi="Times New Roman" w:cs="Times New Roman"/>
          <w:color w:val="000000"/>
          <w:sz w:val="22"/>
        </w:rPr>
        <w:t>eq.</w:t>
      </w:r>
      <w:r>
        <w:rPr>
          <w:rFonts w:ascii="Times New Roman" w:hAnsi="Times New Roman" w:eastAsia="楷体" w:cs="Times New Roman"/>
          <w:color w:val="000000"/>
          <w:sz w:val="22"/>
        </w:rPr>
        <w:t>。</w:t>
      </w:r>
    </w:p>
    <w:p w14:paraId="111A6E65">
      <w:pPr>
        <w:pStyle w:val="47"/>
        <w:numPr>
          <w:ilvl w:val="2"/>
          <w:numId w:val="1"/>
        </w:numPr>
        <w:spacing w:before="100" w:beforeAutospacing="1" w:after="0" w:line="360" w:lineRule="auto"/>
        <w:outlineLvl w:val="2"/>
        <w:rPr>
          <w:rFonts w:ascii="Times New Roman" w:hAnsi="Times New Roman" w:cs="Times New Roman"/>
          <w:sz w:val="24"/>
          <w:szCs w:val="24"/>
        </w:rPr>
      </w:pPr>
      <w:r>
        <w:rPr>
          <w:rFonts w:ascii="Times New Roman" w:hAnsi="Times New Roman" w:cs="Times New Roman"/>
          <w:sz w:val="24"/>
          <w:szCs w:val="24"/>
        </w:rPr>
        <w:t>数据质量要求</w:t>
      </w:r>
    </w:p>
    <w:p w14:paraId="615596A7">
      <w:pPr>
        <w:pStyle w:val="14"/>
        <w:spacing w:before="0" w:line="360" w:lineRule="auto"/>
        <w:ind w:left="119" w:firstLine="420"/>
        <w:rPr>
          <w:rFonts w:ascii="Times New Roman" w:hAnsi="Times New Roman"/>
          <w:lang w:eastAsia="zh-CN"/>
        </w:rPr>
      </w:pPr>
      <w:r>
        <w:rPr>
          <w:rFonts w:hint="eastAsia" w:ascii="Times New Roman" w:hAnsi="Times New Roman"/>
          <w:lang w:eastAsia="zh-CN"/>
        </w:rPr>
        <w:t>数据质量代表LCA研究的目标代表性与数据实际代表性之间的差异，</w:t>
      </w:r>
      <w:r>
        <w:rPr>
          <w:rFonts w:ascii="Times New Roman" w:hAnsi="Times New Roman"/>
          <w:lang w:eastAsia="zh-CN"/>
        </w:rPr>
        <w:t>本报告的数据质量评估方法采用CLCD方法</w:t>
      </w:r>
      <w:r>
        <w:rPr>
          <w:rFonts w:hint="eastAsia" w:ascii="Times New Roman" w:hAnsi="Times New Roman"/>
          <w:lang w:eastAsia="zh-CN"/>
        </w:rPr>
        <w:t>。</w:t>
      </w:r>
    </w:p>
    <w:p w14:paraId="1F87704D">
      <w:pPr>
        <w:pStyle w:val="14"/>
        <w:spacing w:before="0" w:line="360" w:lineRule="auto"/>
        <w:ind w:left="119" w:firstLine="420"/>
        <w:rPr>
          <w:lang w:eastAsia="zh-CN"/>
        </w:rPr>
      </w:pPr>
      <w:r>
        <w:rPr>
          <w:rFonts w:ascii="Times New Roman" w:hAnsi="Times New Roman"/>
          <w:lang w:eastAsia="zh-CN"/>
        </w:rPr>
        <w:t>CLCD方法</w:t>
      </w:r>
      <w:r>
        <w:rPr>
          <w:rFonts w:hint="eastAsia"/>
          <w:lang w:eastAsia="zh-CN"/>
        </w:rPr>
        <w:t>对模型中的消耗与排放清单数据，从①清单数据来源与算法、②时间代表性、③地理代表性、④技术代表性等四个方面进行评估，并对关联背景数据库的消耗，评估其与上游背景过程匹配的不确定度。</w:t>
      </w:r>
      <w:r>
        <w:rPr>
          <w:lang w:eastAsia="zh-CN"/>
        </w:rPr>
        <w:t>完成清单不确定度评估后</w:t>
      </w:r>
      <w:r>
        <w:rPr>
          <w:rFonts w:hint="eastAsia"/>
          <w:lang w:eastAsia="zh-CN"/>
        </w:rPr>
        <w:t>，</w:t>
      </w:r>
      <w:r>
        <w:rPr>
          <w:lang w:eastAsia="zh-CN"/>
        </w:rPr>
        <w:t>采用</w:t>
      </w:r>
      <w:r>
        <w:rPr>
          <w:rFonts w:hint="eastAsia"/>
          <w:lang w:eastAsia="zh-CN"/>
        </w:rPr>
        <w:t>解析</w:t>
      </w:r>
      <w:r>
        <w:rPr>
          <w:lang w:eastAsia="zh-CN"/>
        </w:rPr>
        <w:t>公式法计算</w:t>
      </w:r>
      <w:r>
        <w:rPr>
          <w:rFonts w:hint="eastAsia"/>
          <w:lang w:eastAsia="zh-CN"/>
        </w:rPr>
        <w:t>不确定度传递与累积，得到LCA结果的不确定度。</w:t>
      </w:r>
    </w:p>
    <w:p w14:paraId="0B75CA7F">
      <w:pPr>
        <w:pStyle w:val="47"/>
        <w:numPr>
          <w:ilvl w:val="2"/>
          <w:numId w:val="1"/>
        </w:numPr>
        <w:spacing w:before="100" w:beforeAutospacing="1" w:after="0" w:line="30" w:lineRule="atLeast"/>
        <w:outlineLvl w:val="2"/>
        <w:rPr>
          <w:rFonts w:ascii="Times New Roman" w:hAnsi="Times New Roman" w:cs="Times New Roman"/>
          <w:sz w:val="24"/>
          <w:szCs w:val="24"/>
        </w:rPr>
      </w:pPr>
      <w:r>
        <w:rPr>
          <w:rFonts w:ascii="Times New Roman" w:hAnsi="Times New Roman" w:cs="Times New Roman"/>
          <w:sz w:val="24"/>
          <w:szCs w:val="24"/>
        </w:rPr>
        <w:t>软件与数据库</w:t>
      </w:r>
    </w:p>
    <w:p w14:paraId="6A99A68C">
      <w:pPr>
        <w:spacing w:line="360" w:lineRule="auto"/>
        <w:ind w:firstLine="480" w:firstLineChars="200"/>
        <w:rPr>
          <w:rStyle w:val="46"/>
          <w:rFonts w:hint="default" w:ascii="Times New Roman" w:hAnsi="Times New Roman" w:cs="Times New Roman"/>
        </w:rPr>
      </w:pPr>
      <w:r>
        <w:rPr>
          <w:rStyle w:val="46"/>
          <w:rFonts w:hint="default" w:ascii="Times New Roman" w:hAnsi="Times New Roman" w:cs="Times New Roman"/>
        </w:rPr>
        <w:t>本研究采用eFootprint软件系统，建立了</w:t>
      </w:r>
      <w:r>
        <w:rPr>
          <w:rFonts w:ascii="Times New Roman" w:hAnsi="Times New Roman" w:cs="Times New Roman"/>
          <w:sz w:val="24"/>
          <w:szCs w:val="24"/>
        </w:rPr>
        <w:t>微晶玻璃</w:t>
      </w:r>
      <w:r>
        <w:rPr>
          <w:rStyle w:val="46"/>
          <w:rFonts w:hint="default" w:ascii="Times New Roman" w:hAnsi="Times New Roman" w:cs="Times New Roman"/>
        </w:rPr>
        <w:t>生命周期模型，并计算得到LCA结果。eFootprint软件系统是由亿科环境科技有限公司研发的在线LCA分析软件，支持全生命周期过程分析，并内置了中国生命周期基础数据库（CLCD）、欧盟ELCD数据库和瑞士的Ecoinvent数据库。</w:t>
      </w:r>
    </w:p>
    <w:p w14:paraId="664CFD8D">
      <w:pPr>
        <w:spacing w:line="360" w:lineRule="auto"/>
        <w:ind w:firstLine="480" w:firstLineChars="200"/>
        <w:rPr>
          <w:rStyle w:val="46"/>
          <w:rFonts w:hint="default" w:ascii="Times New Roman" w:hAnsi="Times New Roman" w:cs="Times New Roman"/>
        </w:rPr>
      </w:pPr>
      <w:r>
        <w:rPr>
          <w:rStyle w:val="46"/>
          <w:rFonts w:hint="default" w:ascii="Times New Roman" w:hAnsi="Times New Roman" w:cs="Times New Roman"/>
        </w:rPr>
        <w:t>研究过程中用到的中国生命周期基础数据库（CLCD）是由亿科开发，基于中国基础工业系统生命周期核心模型的行业平均数据库。CLCD数据库包括国内主要能源、交通运输和基础原材料的清单数据集。</w:t>
      </w:r>
    </w:p>
    <w:p w14:paraId="082BE25E">
      <w:pPr>
        <w:pStyle w:val="49"/>
        <w:spacing w:line="360" w:lineRule="auto"/>
        <w:ind w:firstLine="480"/>
        <w:rPr>
          <w:rFonts w:ascii="Times New Roman"/>
          <w:color w:val="FF0000"/>
          <w:sz w:val="24"/>
          <w:szCs w:val="24"/>
        </w:rPr>
      </w:pPr>
      <w:r>
        <w:rPr>
          <w:rFonts w:ascii="Times New Roman"/>
          <w:color w:val="000000"/>
          <w:sz w:val="24"/>
        </w:rPr>
        <w:t>在eFootprint软件中建立的</w:t>
      </w:r>
      <w:r>
        <w:rPr>
          <w:rFonts w:hint="eastAsia" w:ascii="Times New Roman"/>
          <w:color w:val="000000"/>
          <w:sz w:val="24"/>
        </w:rPr>
        <w:t>微晶玻璃L</w:t>
      </w:r>
      <w:r>
        <w:rPr>
          <w:rFonts w:ascii="Times New Roman"/>
          <w:color w:val="000000"/>
          <w:sz w:val="24"/>
        </w:rPr>
        <w:t>CA模型，其生命周期过程使用的背景数据来源见下表：</w:t>
      </w:r>
    </w:p>
    <w:p w14:paraId="42917680">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表1.2.5背景数据来源表</w:t>
      </w:r>
    </w:p>
    <w:tbl>
      <w:tblPr>
        <w:tblStyle w:val="24"/>
        <w:tblW w:w="4998" w:type="pct"/>
        <w:jc w:val="center"/>
        <w:tblLayout w:type="autofit"/>
        <w:tblCellMar>
          <w:top w:w="0" w:type="dxa"/>
          <w:left w:w="108" w:type="dxa"/>
          <w:bottom w:w="0" w:type="dxa"/>
          <w:right w:w="108" w:type="dxa"/>
        </w:tblCellMar>
      </w:tblPr>
      <w:tblGrid>
        <w:gridCol w:w="2887"/>
        <w:gridCol w:w="1422"/>
        <w:gridCol w:w="1841"/>
        <w:gridCol w:w="2369"/>
      </w:tblGrid>
      <w:tr w14:paraId="1A672141">
        <w:tblPrEx>
          <w:tblCellMar>
            <w:top w:w="0" w:type="dxa"/>
            <w:left w:w="108" w:type="dxa"/>
            <w:bottom w:w="0" w:type="dxa"/>
            <w:right w:w="108" w:type="dxa"/>
          </w:tblCellMar>
        </w:tblPrEx>
        <w:trPr>
          <w:jc w:val="center"/>
        </w:trPr>
        <w:tc>
          <w:tcPr>
            <w:tcW w:w="1771" w:type="pct"/>
            <w:tcBorders>
              <w:top w:val="single" w:color="auto" w:sz="4" w:space="0"/>
              <w:bottom w:val="single" w:color="auto" w:sz="4" w:space="0"/>
            </w:tcBorders>
            <w:vAlign w:val="center"/>
          </w:tcPr>
          <w:p w14:paraId="4B7833F5">
            <w:pPr>
              <w:jc w:val="center"/>
              <w:rPr>
                <w:rFonts w:ascii="Times New Roman" w:hAnsi="Times New Roman" w:eastAsia="宋体" w:cs="Times New Roman"/>
                <w:b/>
                <w:bCs/>
                <w:sz w:val="22"/>
              </w:rPr>
            </w:pPr>
            <w:r>
              <w:rPr>
                <w:rFonts w:ascii="Times New Roman" w:hAnsi="Times New Roman" w:eastAsia="宋体" w:cs="Times New Roman"/>
                <w:b/>
                <w:sz w:val="22"/>
              </w:rPr>
              <w:t>清单名称</w:t>
            </w:r>
          </w:p>
        </w:tc>
        <w:tc>
          <w:tcPr>
            <w:tcW w:w="911" w:type="pct"/>
            <w:tcBorders>
              <w:top w:val="single" w:color="auto" w:sz="4" w:space="0"/>
              <w:bottom w:val="single" w:color="auto" w:sz="4" w:space="0"/>
            </w:tcBorders>
            <w:vAlign w:val="center"/>
          </w:tcPr>
          <w:p w14:paraId="7F45ADF3">
            <w:pPr>
              <w:jc w:val="center"/>
              <w:rPr>
                <w:rFonts w:ascii="Times New Roman" w:hAnsi="Times New Roman" w:eastAsia="宋体" w:cs="Times New Roman"/>
                <w:b/>
                <w:bCs/>
                <w:sz w:val="22"/>
              </w:rPr>
            </w:pPr>
            <w:r>
              <w:rPr>
                <w:rFonts w:ascii="Times New Roman" w:hAnsi="Times New Roman" w:eastAsia="宋体" w:cs="Times New Roman"/>
                <w:b/>
                <w:sz w:val="22"/>
              </w:rPr>
              <w:t>所属过程</w:t>
            </w:r>
          </w:p>
        </w:tc>
        <w:tc>
          <w:tcPr>
            <w:tcW w:w="1157" w:type="pct"/>
            <w:tcBorders>
              <w:top w:val="single" w:color="auto" w:sz="4" w:space="0"/>
              <w:bottom w:val="single" w:color="auto" w:sz="4" w:space="0"/>
            </w:tcBorders>
            <w:vAlign w:val="center"/>
          </w:tcPr>
          <w:p w14:paraId="2DD3D3B0">
            <w:pPr>
              <w:widowControl/>
              <w:jc w:val="center"/>
              <w:rPr>
                <w:rFonts w:ascii="Times New Roman" w:hAnsi="Times New Roman" w:eastAsia="宋体" w:cs="Times New Roman"/>
                <w:b/>
                <w:color w:val="000000"/>
                <w:kern w:val="0"/>
                <w:sz w:val="22"/>
              </w:rPr>
            </w:pPr>
            <w:r>
              <w:rPr>
                <w:rFonts w:ascii="Times New Roman" w:hAnsi="Times New Roman" w:eastAsia="宋体" w:cs="Times New Roman"/>
                <w:b/>
                <w:color w:val="000000"/>
                <w:kern w:val="0"/>
                <w:sz w:val="22"/>
              </w:rPr>
              <w:t>数据集名称</w:t>
            </w:r>
          </w:p>
        </w:tc>
        <w:tc>
          <w:tcPr>
            <w:tcW w:w="1159" w:type="pct"/>
            <w:tcBorders>
              <w:top w:val="single" w:color="auto" w:sz="4" w:space="0"/>
              <w:bottom w:val="single" w:color="auto" w:sz="4" w:space="0"/>
            </w:tcBorders>
            <w:noWrap/>
            <w:vAlign w:val="center"/>
          </w:tcPr>
          <w:p w14:paraId="6E4D7623">
            <w:pPr>
              <w:widowControl/>
              <w:jc w:val="center"/>
              <w:rPr>
                <w:rFonts w:ascii="Times New Roman" w:hAnsi="Times New Roman" w:eastAsia="宋体" w:cs="Times New Roman"/>
                <w:b/>
                <w:color w:val="000000"/>
                <w:kern w:val="0"/>
                <w:sz w:val="22"/>
              </w:rPr>
            </w:pPr>
            <w:r>
              <w:rPr>
                <w:rFonts w:ascii="Times New Roman" w:hAnsi="Times New Roman" w:eastAsia="宋体" w:cs="Times New Roman"/>
                <w:b/>
                <w:color w:val="000000"/>
                <w:kern w:val="0"/>
                <w:sz w:val="22"/>
              </w:rPr>
              <w:t>数据库名称</w:t>
            </w:r>
          </w:p>
        </w:tc>
      </w:tr>
      <w:tr w14:paraId="13F41643">
        <w:tblPrEx>
          <w:tblCellMar>
            <w:top w:w="0" w:type="dxa"/>
            <w:left w:w="108" w:type="dxa"/>
            <w:bottom w:w="0" w:type="dxa"/>
            <w:right w:w="108" w:type="dxa"/>
          </w:tblCellMar>
        </w:tblPrEx>
        <w:trPr>
          <w:jc w:val="center"/>
        </w:trPr>
        <w:tc>
          <w:tcPr>
            <w:tcW w:w="1771" w:type="pct"/>
            <w:tcBorders>
              <w:top w:val="single" w:color="auto" w:sz="4" w:space="0"/>
              <w:bottom w:val="single" w:color="auto" w:sz="4" w:space="0"/>
            </w:tcBorders>
            <w:vAlign w:val="center"/>
          </w:tcPr>
          <w:p w14:paraId="34C8BFFE">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石英砂</w:t>
            </w:r>
          </w:p>
        </w:tc>
        <w:tc>
          <w:tcPr>
            <w:tcW w:w="911" w:type="pct"/>
            <w:tcBorders>
              <w:top w:val="single" w:color="auto" w:sz="4" w:space="0"/>
              <w:bottom w:val="single" w:color="auto" w:sz="4" w:space="0"/>
            </w:tcBorders>
            <w:vAlign w:val="center"/>
          </w:tcPr>
          <w:p w14:paraId="2A62937A">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玻璃液</w:t>
            </w:r>
          </w:p>
        </w:tc>
        <w:tc>
          <w:tcPr>
            <w:tcW w:w="1157" w:type="pct"/>
            <w:tcBorders>
              <w:top w:val="single" w:color="auto" w:sz="4" w:space="0"/>
              <w:bottom w:val="single" w:color="auto" w:sz="4" w:space="0"/>
            </w:tcBorders>
            <w:vAlign w:val="center"/>
          </w:tcPr>
          <w:p w14:paraId="42F9375C">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石英砂</w:t>
            </w:r>
          </w:p>
        </w:tc>
        <w:tc>
          <w:tcPr>
            <w:tcW w:w="1159" w:type="pct"/>
            <w:tcBorders>
              <w:top w:val="single" w:color="auto" w:sz="4" w:space="0"/>
              <w:bottom w:val="single" w:color="auto" w:sz="4" w:space="0"/>
            </w:tcBorders>
            <w:noWrap/>
            <w:vAlign w:val="center"/>
          </w:tcPr>
          <w:p w14:paraId="5D3887ED">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CLCD-China-ECER 0.8 </w:t>
            </w:r>
          </w:p>
        </w:tc>
      </w:tr>
      <w:tr w14:paraId="4EBC6490">
        <w:tblPrEx>
          <w:tblCellMar>
            <w:top w:w="0" w:type="dxa"/>
            <w:left w:w="108" w:type="dxa"/>
            <w:bottom w:w="0" w:type="dxa"/>
            <w:right w:w="108" w:type="dxa"/>
          </w:tblCellMar>
        </w:tblPrEx>
        <w:trPr>
          <w:jc w:val="center"/>
        </w:trPr>
        <w:tc>
          <w:tcPr>
            <w:tcW w:w="1771" w:type="pct"/>
            <w:tcBorders>
              <w:top w:val="single" w:color="auto" w:sz="4" w:space="0"/>
              <w:bottom w:val="single" w:color="auto" w:sz="4" w:space="0"/>
            </w:tcBorders>
            <w:vAlign w:val="center"/>
          </w:tcPr>
          <w:p w14:paraId="3F464FFA">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氟硅酸钠</w:t>
            </w:r>
          </w:p>
        </w:tc>
        <w:tc>
          <w:tcPr>
            <w:tcW w:w="911" w:type="pct"/>
            <w:tcBorders>
              <w:top w:val="single" w:color="auto" w:sz="4" w:space="0"/>
              <w:bottom w:val="single" w:color="auto" w:sz="4" w:space="0"/>
            </w:tcBorders>
            <w:vAlign w:val="center"/>
          </w:tcPr>
          <w:p w14:paraId="21F53E5B">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玻璃液</w:t>
            </w:r>
          </w:p>
        </w:tc>
        <w:tc>
          <w:tcPr>
            <w:tcW w:w="1157" w:type="pct"/>
            <w:tcBorders>
              <w:top w:val="single" w:color="auto" w:sz="4" w:space="0"/>
              <w:bottom w:val="single" w:color="auto" w:sz="4" w:space="0"/>
            </w:tcBorders>
            <w:vAlign w:val="center"/>
          </w:tcPr>
          <w:p w14:paraId="0CF50928">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氟硅酸钠</w:t>
            </w:r>
          </w:p>
        </w:tc>
        <w:tc>
          <w:tcPr>
            <w:tcW w:w="1159" w:type="pct"/>
            <w:tcBorders>
              <w:top w:val="single" w:color="auto" w:sz="4" w:space="0"/>
              <w:bottom w:val="single" w:color="auto" w:sz="4" w:space="0"/>
            </w:tcBorders>
            <w:noWrap/>
            <w:vAlign w:val="center"/>
          </w:tcPr>
          <w:p w14:paraId="6F6B271F">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CLCD-China-ECER 0.8 </w:t>
            </w:r>
          </w:p>
        </w:tc>
      </w:tr>
      <w:tr w14:paraId="69A88F85">
        <w:tblPrEx>
          <w:tblCellMar>
            <w:top w:w="0" w:type="dxa"/>
            <w:left w:w="108" w:type="dxa"/>
            <w:bottom w:w="0" w:type="dxa"/>
            <w:right w:w="108" w:type="dxa"/>
          </w:tblCellMar>
        </w:tblPrEx>
        <w:trPr>
          <w:jc w:val="center"/>
        </w:trPr>
        <w:tc>
          <w:tcPr>
            <w:tcW w:w="1771" w:type="pct"/>
            <w:tcBorders>
              <w:top w:val="single" w:color="auto" w:sz="4" w:space="0"/>
              <w:bottom w:val="single" w:color="auto" w:sz="4" w:space="0"/>
            </w:tcBorders>
            <w:vAlign w:val="center"/>
          </w:tcPr>
          <w:p w14:paraId="17F3B4F5">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纯碱</w:t>
            </w:r>
          </w:p>
        </w:tc>
        <w:tc>
          <w:tcPr>
            <w:tcW w:w="911" w:type="pct"/>
            <w:tcBorders>
              <w:top w:val="single" w:color="auto" w:sz="4" w:space="0"/>
              <w:bottom w:val="single" w:color="auto" w:sz="4" w:space="0"/>
            </w:tcBorders>
            <w:vAlign w:val="center"/>
          </w:tcPr>
          <w:p w14:paraId="0CCAEEE3">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玻璃液</w:t>
            </w:r>
          </w:p>
        </w:tc>
        <w:tc>
          <w:tcPr>
            <w:tcW w:w="1157" w:type="pct"/>
            <w:tcBorders>
              <w:top w:val="single" w:color="auto" w:sz="4" w:space="0"/>
              <w:bottom w:val="single" w:color="auto" w:sz="4" w:space="0"/>
            </w:tcBorders>
            <w:vAlign w:val="center"/>
          </w:tcPr>
          <w:p w14:paraId="6860335A">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纯碱</w:t>
            </w:r>
          </w:p>
        </w:tc>
        <w:tc>
          <w:tcPr>
            <w:tcW w:w="1159" w:type="pct"/>
            <w:tcBorders>
              <w:top w:val="single" w:color="auto" w:sz="4" w:space="0"/>
              <w:bottom w:val="single" w:color="auto" w:sz="4" w:space="0"/>
            </w:tcBorders>
            <w:noWrap/>
            <w:vAlign w:val="center"/>
          </w:tcPr>
          <w:p w14:paraId="0ACE8831">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CLCD-China-ECER 0.8 </w:t>
            </w:r>
          </w:p>
        </w:tc>
      </w:tr>
      <w:tr w14:paraId="3481DC58">
        <w:tblPrEx>
          <w:tblCellMar>
            <w:top w:w="0" w:type="dxa"/>
            <w:left w:w="108" w:type="dxa"/>
            <w:bottom w:w="0" w:type="dxa"/>
            <w:right w:w="108" w:type="dxa"/>
          </w:tblCellMar>
        </w:tblPrEx>
        <w:trPr>
          <w:jc w:val="center"/>
        </w:trPr>
        <w:tc>
          <w:tcPr>
            <w:tcW w:w="1771" w:type="pct"/>
            <w:tcBorders>
              <w:top w:val="single" w:color="auto" w:sz="4" w:space="0"/>
              <w:bottom w:val="single" w:color="auto" w:sz="4" w:space="0"/>
            </w:tcBorders>
            <w:vAlign w:val="center"/>
          </w:tcPr>
          <w:p w14:paraId="1C00B8E8">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碳酸钙</w:t>
            </w:r>
          </w:p>
        </w:tc>
        <w:tc>
          <w:tcPr>
            <w:tcW w:w="911" w:type="pct"/>
            <w:tcBorders>
              <w:top w:val="single" w:color="auto" w:sz="4" w:space="0"/>
              <w:bottom w:val="single" w:color="auto" w:sz="4" w:space="0"/>
            </w:tcBorders>
            <w:vAlign w:val="center"/>
          </w:tcPr>
          <w:p w14:paraId="4E8BDAE6">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玻璃液</w:t>
            </w:r>
          </w:p>
        </w:tc>
        <w:tc>
          <w:tcPr>
            <w:tcW w:w="1157" w:type="pct"/>
            <w:tcBorders>
              <w:top w:val="single" w:color="auto" w:sz="4" w:space="0"/>
              <w:bottom w:val="single" w:color="auto" w:sz="4" w:space="0"/>
            </w:tcBorders>
            <w:vAlign w:val="center"/>
          </w:tcPr>
          <w:p w14:paraId="4D8A6960">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重质碳酸钙(800目：d=16um)</w:t>
            </w:r>
          </w:p>
        </w:tc>
        <w:tc>
          <w:tcPr>
            <w:tcW w:w="1159" w:type="pct"/>
            <w:tcBorders>
              <w:top w:val="single" w:color="auto" w:sz="4" w:space="0"/>
              <w:bottom w:val="single" w:color="auto" w:sz="4" w:space="0"/>
            </w:tcBorders>
            <w:noWrap/>
            <w:vAlign w:val="center"/>
          </w:tcPr>
          <w:p w14:paraId="7DBA5B37">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CLCD-China-ECER 0.8 </w:t>
            </w:r>
          </w:p>
        </w:tc>
      </w:tr>
      <w:tr w14:paraId="5311E4C5">
        <w:tblPrEx>
          <w:tblCellMar>
            <w:top w:w="0" w:type="dxa"/>
            <w:left w:w="108" w:type="dxa"/>
            <w:bottom w:w="0" w:type="dxa"/>
            <w:right w:w="108" w:type="dxa"/>
          </w:tblCellMar>
        </w:tblPrEx>
        <w:trPr>
          <w:jc w:val="center"/>
        </w:trPr>
        <w:tc>
          <w:tcPr>
            <w:tcW w:w="1771" w:type="pct"/>
            <w:tcBorders>
              <w:top w:val="single" w:color="auto" w:sz="4" w:space="0"/>
              <w:bottom w:val="single" w:color="auto" w:sz="4" w:space="0"/>
            </w:tcBorders>
            <w:vAlign w:val="center"/>
          </w:tcPr>
          <w:p w14:paraId="4084236B">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电力（全国平均）</w:t>
            </w:r>
          </w:p>
        </w:tc>
        <w:tc>
          <w:tcPr>
            <w:tcW w:w="911" w:type="pct"/>
            <w:tcBorders>
              <w:top w:val="single" w:color="auto" w:sz="4" w:space="0"/>
              <w:bottom w:val="single" w:color="auto" w:sz="4" w:space="0"/>
            </w:tcBorders>
            <w:vAlign w:val="center"/>
          </w:tcPr>
          <w:p w14:paraId="5A224772">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微晶玻璃</w:t>
            </w:r>
          </w:p>
        </w:tc>
        <w:tc>
          <w:tcPr>
            <w:tcW w:w="1157" w:type="pct"/>
            <w:tcBorders>
              <w:top w:val="single" w:color="auto" w:sz="4" w:space="0"/>
              <w:bottom w:val="single" w:color="auto" w:sz="4" w:space="0"/>
            </w:tcBorders>
            <w:vAlign w:val="center"/>
          </w:tcPr>
          <w:p w14:paraId="4A2AF3D8">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西北电网电力（混合）(未分类)</w:t>
            </w:r>
          </w:p>
        </w:tc>
        <w:tc>
          <w:tcPr>
            <w:tcW w:w="1159" w:type="pct"/>
            <w:tcBorders>
              <w:top w:val="single" w:color="auto" w:sz="4" w:space="0"/>
              <w:bottom w:val="single" w:color="auto" w:sz="4" w:space="0"/>
            </w:tcBorders>
            <w:noWrap/>
            <w:vAlign w:val="center"/>
          </w:tcPr>
          <w:p w14:paraId="64D26057">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CLCD-2023  0.9.6 </w:t>
            </w:r>
          </w:p>
        </w:tc>
      </w:tr>
      <w:tr w14:paraId="3CC4D4F6">
        <w:tblPrEx>
          <w:tblCellMar>
            <w:top w:w="0" w:type="dxa"/>
            <w:left w:w="108" w:type="dxa"/>
            <w:bottom w:w="0" w:type="dxa"/>
            <w:right w:w="108" w:type="dxa"/>
          </w:tblCellMar>
        </w:tblPrEx>
        <w:trPr>
          <w:jc w:val="center"/>
        </w:trPr>
        <w:tc>
          <w:tcPr>
            <w:tcW w:w="1771" w:type="pct"/>
            <w:tcBorders>
              <w:top w:val="single" w:color="auto" w:sz="4" w:space="0"/>
              <w:bottom w:val="single" w:color="auto" w:sz="4" w:space="0"/>
            </w:tcBorders>
            <w:vAlign w:val="center"/>
          </w:tcPr>
          <w:p w14:paraId="33C492FA">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电力（全国平均）</w:t>
            </w:r>
          </w:p>
        </w:tc>
        <w:tc>
          <w:tcPr>
            <w:tcW w:w="911" w:type="pct"/>
            <w:tcBorders>
              <w:top w:val="single" w:color="auto" w:sz="4" w:space="0"/>
              <w:bottom w:val="single" w:color="auto" w:sz="4" w:space="0"/>
            </w:tcBorders>
            <w:vAlign w:val="center"/>
          </w:tcPr>
          <w:p w14:paraId="7BE786F5">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玻璃带</w:t>
            </w:r>
          </w:p>
        </w:tc>
        <w:tc>
          <w:tcPr>
            <w:tcW w:w="1157" w:type="pct"/>
            <w:tcBorders>
              <w:top w:val="single" w:color="auto" w:sz="4" w:space="0"/>
              <w:bottom w:val="single" w:color="auto" w:sz="4" w:space="0"/>
            </w:tcBorders>
            <w:vAlign w:val="center"/>
          </w:tcPr>
          <w:p w14:paraId="1B47A29C">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西北电网电力（混合）(未分类)</w:t>
            </w:r>
          </w:p>
        </w:tc>
        <w:tc>
          <w:tcPr>
            <w:tcW w:w="1159" w:type="pct"/>
            <w:tcBorders>
              <w:top w:val="single" w:color="auto" w:sz="4" w:space="0"/>
              <w:bottom w:val="single" w:color="auto" w:sz="4" w:space="0"/>
            </w:tcBorders>
            <w:noWrap/>
            <w:vAlign w:val="center"/>
          </w:tcPr>
          <w:p w14:paraId="3C1153DA">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CLCD-2023  0.9.6 </w:t>
            </w:r>
          </w:p>
        </w:tc>
      </w:tr>
      <w:tr w14:paraId="0AED8F26">
        <w:tblPrEx>
          <w:tblCellMar>
            <w:top w:w="0" w:type="dxa"/>
            <w:left w:w="108" w:type="dxa"/>
            <w:bottom w:w="0" w:type="dxa"/>
            <w:right w:w="108" w:type="dxa"/>
          </w:tblCellMar>
        </w:tblPrEx>
        <w:trPr>
          <w:jc w:val="center"/>
        </w:trPr>
        <w:tc>
          <w:tcPr>
            <w:tcW w:w="1771" w:type="pct"/>
            <w:tcBorders>
              <w:top w:val="single" w:color="auto" w:sz="4" w:space="0"/>
              <w:bottom w:val="single" w:color="auto" w:sz="4" w:space="0"/>
            </w:tcBorders>
            <w:vAlign w:val="center"/>
          </w:tcPr>
          <w:p w14:paraId="0328CA48">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天然气</w:t>
            </w:r>
          </w:p>
        </w:tc>
        <w:tc>
          <w:tcPr>
            <w:tcW w:w="911" w:type="pct"/>
            <w:tcBorders>
              <w:top w:val="single" w:color="auto" w:sz="4" w:space="0"/>
              <w:bottom w:val="single" w:color="auto" w:sz="4" w:space="0"/>
            </w:tcBorders>
            <w:vAlign w:val="center"/>
          </w:tcPr>
          <w:p w14:paraId="49A55B2B">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玻璃带</w:t>
            </w:r>
          </w:p>
        </w:tc>
        <w:tc>
          <w:tcPr>
            <w:tcW w:w="1157" w:type="pct"/>
            <w:tcBorders>
              <w:top w:val="single" w:color="auto" w:sz="4" w:space="0"/>
              <w:bottom w:val="single" w:color="auto" w:sz="4" w:space="0"/>
            </w:tcBorders>
            <w:vAlign w:val="center"/>
          </w:tcPr>
          <w:p w14:paraId="74EA04EB">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天然气（全国平均）(未分类)</w:t>
            </w:r>
          </w:p>
        </w:tc>
        <w:tc>
          <w:tcPr>
            <w:tcW w:w="1159" w:type="pct"/>
            <w:tcBorders>
              <w:top w:val="single" w:color="auto" w:sz="4" w:space="0"/>
              <w:bottom w:val="single" w:color="auto" w:sz="4" w:space="0"/>
            </w:tcBorders>
            <w:noWrap/>
            <w:vAlign w:val="center"/>
          </w:tcPr>
          <w:p w14:paraId="00A2A090">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CLCD-China 0.9 </w:t>
            </w:r>
          </w:p>
        </w:tc>
      </w:tr>
      <w:tr w14:paraId="534B3385">
        <w:tblPrEx>
          <w:tblCellMar>
            <w:top w:w="0" w:type="dxa"/>
            <w:left w:w="108" w:type="dxa"/>
            <w:bottom w:w="0" w:type="dxa"/>
            <w:right w:w="108" w:type="dxa"/>
          </w:tblCellMar>
        </w:tblPrEx>
        <w:trPr>
          <w:jc w:val="center"/>
        </w:trPr>
        <w:tc>
          <w:tcPr>
            <w:tcW w:w="1771" w:type="pct"/>
            <w:tcBorders>
              <w:top w:val="single" w:color="auto" w:sz="4" w:space="0"/>
              <w:bottom w:val="single" w:color="auto" w:sz="4" w:space="0"/>
            </w:tcBorders>
            <w:vAlign w:val="center"/>
          </w:tcPr>
          <w:p w14:paraId="768B100C">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电力（全国平均）</w:t>
            </w:r>
          </w:p>
        </w:tc>
        <w:tc>
          <w:tcPr>
            <w:tcW w:w="911" w:type="pct"/>
            <w:tcBorders>
              <w:top w:val="single" w:color="auto" w:sz="4" w:space="0"/>
              <w:bottom w:val="single" w:color="auto" w:sz="4" w:space="0"/>
            </w:tcBorders>
            <w:vAlign w:val="center"/>
          </w:tcPr>
          <w:p w14:paraId="6B734E56">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玻璃液</w:t>
            </w:r>
          </w:p>
        </w:tc>
        <w:tc>
          <w:tcPr>
            <w:tcW w:w="1157" w:type="pct"/>
            <w:tcBorders>
              <w:top w:val="single" w:color="auto" w:sz="4" w:space="0"/>
              <w:bottom w:val="single" w:color="auto" w:sz="4" w:space="0"/>
            </w:tcBorders>
            <w:vAlign w:val="center"/>
          </w:tcPr>
          <w:p w14:paraId="70EA85F8">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2023年中国电网电力（到用户-0.620）(未分类)</w:t>
            </w:r>
          </w:p>
        </w:tc>
        <w:tc>
          <w:tcPr>
            <w:tcW w:w="1159" w:type="pct"/>
            <w:tcBorders>
              <w:top w:val="single" w:color="auto" w:sz="4" w:space="0"/>
              <w:bottom w:val="single" w:color="auto" w:sz="4" w:space="0"/>
            </w:tcBorders>
            <w:noWrap/>
            <w:vAlign w:val="center"/>
          </w:tcPr>
          <w:p w14:paraId="0E1222C9">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CLCD-2023  0.9.6 </w:t>
            </w:r>
          </w:p>
        </w:tc>
      </w:tr>
      <w:tr w14:paraId="53064267">
        <w:tblPrEx>
          <w:tblCellMar>
            <w:top w:w="0" w:type="dxa"/>
            <w:left w:w="108" w:type="dxa"/>
            <w:bottom w:w="0" w:type="dxa"/>
            <w:right w:w="108" w:type="dxa"/>
          </w:tblCellMar>
        </w:tblPrEx>
        <w:trPr>
          <w:jc w:val="center"/>
        </w:trPr>
        <w:tc>
          <w:tcPr>
            <w:tcW w:w="1771" w:type="pct"/>
            <w:tcBorders>
              <w:top w:val="single" w:color="auto" w:sz="4" w:space="0"/>
              <w:bottom w:val="single" w:color="auto" w:sz="4" w:space="0"/>
            </w:tcBorders>
            <w:vAlign w:val="center"/>
          </w:tcPr>
          <w:p w14:paraId="00B8C46C">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柴油</w:t>
            </w:r>
          </w:p>
        </w:tc>
        <w:tc>
          <w:tcPr>
            <w:tcW w:w="911" w:type="pct"/>
            <w:tcBorders>
              <w:top w:val="single" w:color="auto" w:sz="4" w:space="0"/>
              <w:bottom w:val="single" w:color="auto" w:sz="4" w:space="0"/>
            </w:tcBorders>
            <w:vAlign w:val="center"/>
          </w:tcPr>
          <w:p w14:paraId="2E590A6D">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玻璃液</w:t>
            </w:r>
          </w:p>
        </w:tc>
        <w:tc>
          <w:tcPr>
            <w:tcW w:w="1157" w:type="pct"/>
            <w:tcBorders>
              <w:top w:val="single" w:color="auto" w:sz="4" w:space="0"/>
              <w:bottom w:val="single" w:color="auto" w:sz="4" w:space="0"/>
            </w:tcBorders>
            <w:vAlign w:val="center"/>
          </w:tcPr>
          <w:p w14:paraId="683FB406">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柴油 （柴油加氢精制）(未分类)</w:t>
            </w:r>
          </w:p>
        </w:tc>
        <w:tc>
          <w:tcPr>
            <w:tcW w:w="1159" w:type="pct"/>
            <w:tcBorders>
              <w:top w:val="single" w:color="auto" w:sz="4" w:space="0"/>
              <w:bottom w:val="single" w:color="auto" w:sz="4" w:space="0"/>
            </w:tcBorders>
            <w:noWrap/>
            <w:vAlign w:val="center"/>
          </w:tcPr>
          <w:p w14:paraId="0CBAA4A5">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CLCD-2023  0.9.6 </w:t>
            </w:r>
          </w:p>
        </w:tc>
      </w:tr>
      <w:tr w14:paraId="58C164C1">
        <w:tblPrEx>
          <w:tblCellMar>
            <w:top w:w="0" w:type="dxa"/>
            <w:left w:w="108" w:type="dxa"/>
            <w:bottom w:w="0" w:type="dxa"/>
            <w:right w:w="108" w:type="dxa"/>
          </w:tblCellMar>
        </w:tblPrEx>
        <w:trPr>
          <w:jc w:val="center"/>
        </w:trPr>
        <w:tc>
          <w:tcPr>
            <w:tcW w:w="1771" w:type="pct"/>
            <w:tcBorders>
              <w:top w:val="single" w:color="auto" w:sz="4" w:space="0"/>
              <w:bottom w:val="single" w:color="auto" w:sz="4" w:space="0"/>
            </w:tcBorders>
            <w:vAlign w:val="center"/>
          </w:tcPr>
          <w:p w14:paraId="72412F20">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天然气</w:t>
            </w:r>
          </w:p>
        </w:tc>
        <w:tc>
          <w:tcPr>
            <w:tcW w:w="911" w:type="pct"/>
            <w:tcBorders>
              <w:top w:val="single" w:color="auto" w:sz="4" w:space="0"/>
              <w:bottom w:val="single" w:color="auto" w:sz="4" w:space="0"/>
            </w:tcBorders>
            <w:vAlign w:val="center"/>
          </w:tcPr>
          <w:p w14:paraId="4FFE6B5F">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玻璃液</w:t>
            </w:r>
          </w:p>
        </w:tc>
        <w:tc>
          <w:tcPr>
            <w:tcW w:w="1157" w:type="pct"/>
            <w:tcBorders>
              <w:top w:val="single" w:color="auto" w:sz="4" w:space="0"/>
              <w:bottom w:val="single" w:color="auto" w:sz="4" w:space="0"/>
            </w:tcBorders>
            <w:vAlign w:val="center"/>
          </w:tcPr>
          <w:p w14:paraId="759585FA">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天然气（全国平均）(未分类)</w:t>
            </w:r>
          </w:p>
        </w:tc>
        <w:tc>
          <w:tcPr>
            <w:tcW w:w="1159" w:type="pct"/>
            <w:tcBorders>
              <w:top w:val="single" w:color="auto" w:sz="4" w:space="0"/>
              <w:bottom w:val="single" w:color="auto" w:sz="4" w:space="0"/>
            </w:tcBorders>
            <w:noWrap/>
            <w:vAlign w:val="center"/>
          </w:tcPr>
          <w:p w14:paraId="57AB1CF5">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CLCD-China 0.9 </w:t>
            </w:r>
          </w:p>
        </w:tc>
      </w:tr>
    </w:tbl>
    <w:p w14:paraId="7D9F6AE7">
      <w:pPr>
        <w:pStyle w:val="47"/>
        <w:spacing w:before="100" w:beforeAutospacing="1" w:after="0" w:line="240" w:lineRule="auto"/>
        <w:rPr>
          <w:rFonts w:ascii="Times New Roman" w:hAnsi="Times New Roman" w:cs="Times New Roman"/>
          <w:sz w:val="30"/>
          <w:szCs w:val="30"/>
        </w:rPr>
      </w:pPr>
      <w:bookmarkStart w:id="72" w:name="_Toc6688"/>
      <w:bookmarkStart w:id="73" w:name="_Toc22437"/>
      <w:r>
        <w:rPr>
          <w:rFonts w:ascii="Times New Roman" w:hAnsi="Times New Roman" w:cs="Times New Roman"/>
          <w:sz w:val="30"/>
          <w:szCs w:val="30"/>
        </w:rPr>
        <w:t>数据收集</w:t>
      </w:r>
      <w:bookmarkEnd w:id="72"/>
      <w:bookmarkEnd w:id="73"/>
    </w:p>
    <w:p w14:paraId="7DBAD2F0">
      <w:pPr>
        <w:pStyle w:val="48"/>
        <w:spacing w:before="0" w:after="0" w:line="240" w:lineRule="auto"/>
        <w:rPr>
          <w:rFonts w:ascii="Times New Roman" w:hAnsi="Times New Roman" w:cs="Times New Roman"/>
        </w:rPr>
      </w:pPr>
      <w:bookmarkStart w:id="74" w:name="_Toc11923"/>
      <w:bookmarkStart w:id="75" w:name="_Toc3753"/>
      <w:r>
        <w:rPr>
          <w:rFonts w:ascii="Times New Roman" w:hAnsi="Times New Roman" w:cs="Times New Roman"/>
        </w:rPr>
        <w:t>2.1.微晶玻璃</w:t>
      </w:r>
      <w:bookmarkEnd w:id="74"/>
      <w:bookmarkEnd w:id="75"/>
    </w:p>
    <w:p w14:paraId="7600E90F">
      <w:pPr>
        <w:spacing w:line="360" w:lineRule="auto"/>
        <w:rPr>
          <w:rFonts w:eastAsia="宋体"/>
          <w:sz w:val="24"/>
          <w:szCs w:val="24"/>
        </w:rPr>
      </w:pPr>
      <w:r>
        <w:rPr>
          <w:rFonts w:hint="eastAsia" w:ascii="宋体" w:hAnsi="宋体" w:eastAsia="宋体"/>
          <w:sz w:val="24"/>
          <w:szCs w:val="24"/>
        </w:rPr>
        <w:t>（1）</w:t>
      </w:r>
      <w:r>
        <w:rPr>
          <w:rFonts w:eastAsia="宋体"/>
          <w:sz w:val="24"/>
          <w:szCs w:val="24"/>
        </w:rPr>
        <w:t>过程基本信息</w:t>
      </w:r>
    </w:p>
    <w:p w14:paraId="673B9DBE">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过程名称：微晶玻璃</w:t>
      </w:r>
    </w:p>
    <w:p w14:paraId="099FD2A7">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过程边界：退火晶化+切割</w:t>
      </w:r>
    </w:p>
    <w:p w14:paraId="6339CBFF">
      <w:pPr>
        <w:spacing w:line="360" w:lineRule="auto"/>
        <w:rPr>
          <w:rFonts w:ascii="Times New Roman" w:hAnsi="Times New Roman" w:eastAsia="宋体" w:cs="Times New Roman"/>
          <w:sz w:val="24"/>
          <w:szCs w:val="24"/>
        </w:rPr>
      </w:pPr>
      <w:r>
        <w:rPr>
          <w:rFonts w:hint="eastAsia" w:ascii="宋体" w:hAnsi="宋体" w:eastAsia="宋体"/>
          <w:sz w:val="24"/>
          <w:szCs w:val="24"/>
        </w:rPr>
        <w:t>（2）</w:t>
      </w:r>
      <w:r>
        <w:rPr>
          <w:rFonts w:eastAsia="宋体"/>
          <w:sz w:val="24"/>
          <w:szCs w:val="24"/>
        </w:rPr>
        <w:t>数据代表性</w:t>
      </w:r>
    </w:p>
    <w:p w14:paraId="3B961419">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主要数据来源：</w:t>
      </w:r>
      <w:r>
        <w:rPr>
          <w:rFonts w:hint="eastAsia" w:ascii="Times New Roman" w:hAnsi="Times New Roman" w:eastAsia="宋体" w:cs="Times New Roman"/>
          <w:sz w:val="24"/>
          <w:szCs w:val="24"/>
        </w:rPr>
        <w:t>生产实测/台帐</w:t>
      </w:r>
    </w:p>
    <w:p w14:paraId="54C17273">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企业名称：</w:t>
      </w:r>
      <w:r>
        <w:rPr>
          <w:rFonts w:hint="eastAsia" w:ascii="Times New Roman" w:hAnsi="Times New Roman" w:eastAsia="宋体" w:cs="Times New Roman"/>
          <w:sz w:val="24"/>
          <w:szCs w:val="24"/>
        </w:rPr>
        <w:t>陕西生态龙门绿碳产业有限公司</w:t>
      </w:r>
    </w:p>
    <w:p w14:paraId="26F254B2">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产地：</w:t>
      </w:r>
      <w:r>
        <w:rPr>
          <w:rFonts w:hint="eastAsia" w:ascii="Times New Roman" w:hAnsi="Times New Roman" w:eastAsia="宋体" w:cs="Times New Roman"/>
          <w:sz w:val="24"/>
          <w:szCs w:val="24"/>
        </w:rPr>
        <w:t>中国</w:t>
      </w:r>
    </w:p>
    <w:p w14:paraId="54F89B08">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基准年：2025</w:t>
      </w:r>
    </w:p>
    <w:p w14:paraId="4E1098B5">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工艺设备：</w:t>
      </w:r>
      <w:r>
        <w:rPr>
          <w:rFonts w:hint="eastAsia" w:ascii="Times New Roman" w:hAnsi="Times New Roman" w:eastAsia="宋体" w:cs="Times New Roman"/>
          <w:sz w:val="24"/>
          <w:szCs w:val="24"/>
        </w:rPr>
        <w:t>晶化退火系统、后端加工玻璃系统</w:t>
      </w:r>
    </w:p>
    <w:p w14:paraId="727DEEFA">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主要原料：</w:t>
      </w:r>
      <w:r>
        <w:rPr>
          <w:rFonts w:hint="eastAsia" w:ascii="Times New Roman" w:hAnsi="Times New Roman" w:eastAsia="宋体" w:cs="Times New Roman"/>
          <w:sz w:val="24"/>
          <w:szCs w:val="24"/>
        </w:rPr>
        <w:t>玻璃带</w:t>
      </w:r>
    </w:p>
    <w:p w14:paraId="194C1108">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主要能耗：</w:t>
      </w:r>
      <w:r>
        <w:rPr>
          <w:rFonts w:hint="eastAsia" w:ascii="Times New Roman" w:hAnsi="Times New Roman" w:eastAsia="宋体" w:cs="Times New Roman"/>
          <w:sz w:val="24"/>
          <w:szCs w:val="24"/>
        </w:rPr>
        <w:t>电力</w:t>
      </w:r>
    </w:p>
    <w:p w14:paraId="4B1102CE">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生产规模：</w:t>
      </w:r>
      <w:r>
        <w:rPr>
          <w:rFonts w:hint="eastAsia" w:ascii="Times New Roman" w:hAnsi="Times New Roman" w:eastAsia="宋体" w:cs="Times New Roman"/>
          <w:sz w:val="24"/>
          <w:szCs w:val="24"/>
        </w:rPr>
        <w:t>1t</w:t>
      </w:r>
    </w:p>
    <w:p w14:paraId="3AFCA3D2">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表</w:t>
      </w:r>
      <w:r>
        <w:rPr>
          <w:rFonts w:hint="eastAsia" w:ascii="Times New Roman" w:hAnsi="Times New Roman" w:eastAsia="宋体" w:cs="Times New Roman"/>
          <w:color w:val="000000"/>
          <w:sz w:val="22"/>
        </w:rPr>
        <w:t>2.1</w:t>
      </w:r>
      <w:r>
        <w:rPr>
          <w:rFonts w:ascii="Times New Roman" w:hAnsi="Times New Roman" w:eastAsia="宋体" w:cs="Times New Roman"/>
          <w:color w:val="000000"/>
          <w:sz w:val="22"/>
        </w:rPr>
        <w:t>过程清单数据表</w:t>
      </w:r>
    </w:p>
    <w:tbl>
      <w:tblPr>
        <w:tblStyle w:val="62"/>
        <w:tblW w:w="4998"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08"/>
        <w:gridCol w:w="1708"/>
        <w:gridCol w:w="1517"/>
        <w:gridCol w:w="847"/>
        <w:gridCol w:w="2039"/>
      </w:tblGrid>
      <w:tr w14:paraId="11230CD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1413" w:type="pct"/>
            <w:tcBorders>
              <w:top w:val="nil"/>
              <w:left w:val="single" w:color="000000" w:sz="4" w:space="0"/>
              <w:bottom w:val="single" w:color="000000" w:sz="4" w:space="0"/>
              <w:right w:val="nil"/>
              <w:insideV w:val="nil"/>
              <w:tl2br w:val="nil"/>
              <w:tr2bl w:val="nil"/>
            </w:tcBorders>
            <w:vAlign w:val="center"/>
          </w:tcPr>
          <w:p w14:paraId="3E95261B">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类型</w:t>
            </w:r>
          </w:p>
        </w:tc>
        <w:tc>
          <w:tcPr>
            <w:tcW w:w="1002" w:type="pct"/>
            <w:tcBorders>
              <w:top w:val="nil"/>
              <w:bottom w:val="single" w:color="000000" w:sz="4" w:space="0"/>
              <w:right w:val="nil"/>
              <w:insideV w:val="nil"/>
              <w:tl2br w:val="nil"/>
              <w:tr2bl w:val="nil"/>
            </w:tcBorders>
            <w:vAlign w:val="center"/>
          </w:tcPr>
          <w:p w14:paraId="4D32DBDD">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清单名称</w:t>
            </w:r>
          </w:p>
        </w:tc>
        <w:tc>
          <w:tcPr>
            <w:tcW w:w="890" w:type="pct"/>
            <w:tcBorders>
              <w:top w:val="nil"/>
              <w:bottom w:val="single" w:color="000000" w:sz="4" w:space="0"/>
              <w:right w:val="nil"/>
              <w:insideV w:val="nil"/>
              <w:tl2br w:val="nil"/>
              <w:tr2bl w:val="nil"/>
            </w:tcBorders>
            <w:vAlign w:val="center"/>
          </w:tcPr>
          <w:p w14:paraId="5E70B00A">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数量</w:t>
            </w:r>
          </w:p>
        </w:tc>
        <w:tc>
          <w:tcPr>
            <w:tcW w:w="497" w:type="pct"/>
            <w:tcBorders>
              <w:top w:val="nil"/>
              <w:bottom w:val="single" w:color="000000" w:sz="4" w:space="0"/>
              <w:right w:val="nil"/>
              <w:insideV w:val="nil"/>
              <w:tl2br w:val="nil"/>
              <w:tr2bl w:val="nil"/>
            </w:tcBorders>
            <w:vAlign w:val="center"/>
          </w:tcPr>
          <w:p w14:paraId="446002E0">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单位</w:t>
            </w:r>
          </w:p>
        </w:tc>
        <w:tc>
          <w:tcPr>
            <w:tcW w:w="1196" w:type="pct"/>
            <w:tcBorders>
              <w:top w:val="nil"/>
              <w:bottom w:val="single" w:color="000000" w:sz="4" w:space="0"/>
              <w:right w:val="nil"/>
              <w:insideV w:val="nil"/>
              <w:tl2br w:val="nil"/>
              <w:tr2bl w:val="nil"/>
            </w:tcBorders>
            <w:vAlign w:val="center"/>
          </w:tcPr>
          <w:p w14:paraId="1623A5D6">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上游数据来源</w:t>
            </w:r>
          </w:p>
        </w:tc>
      </w:tr>
      <w:tr w14:paraId="0C05078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5BBF21B8">
            <w:pPr>
              <w:jc w:val="center"/>
              <w:rPr>
                <w:rFonts w:ascii="宋体" w:hAnsi="宋体" w:eastAsia="宋体" w:cs="Times New Roman"/>
                <w:b w:val="0"/>
                <w:bCs/>
                <w:color w:val="000000"/>
                <w:sz w:val="22"/>
              </w:rPr>
            </w:pPr>
            <w:r>
              <w:rPr>
                <w:rFonts w:ascii="宋体" w:hAnsi="宋体" w:eastAsia="宋体" w:cs="Times New Roman"/>
                <w:b/>
                <w:bCs/>
                <w:color w:val="000000"/>
                <w:sz w:val="22"/>
              </w:rPr>
              <w:t>产品产出</w:t>
            </w:r>
          </w:p>
        </w:tc>
        <w:tc>
          <w:tcPr>
            <w:tcW w:w="1002" w:type="pct"/>
            <w:vAlign w:val="center"/>
          </w:tcPr>
          <w:p w14:paraId="5CFEE4E6">
            <w:pPr>
              <w:jc w:val="center"/>
              <w:rPr>
                <w:rFonts w:ascii="宋体" w:hAnsi="宋体" w:eastAsia="宋体" w:cs="Times New Roman"/>
                <w:color w:val="000000"/>
                <w:sz w:val="22"/>
              </w:rPr>
            </w:pPr>
            <w:r>
              <w:rPr>
                <w:rFonts w:ascii="宋体" w:hAnsi="宋体" w:eastAsia="宋体" w:cs="Times New Roman"/>
                <w:color w:val="000000"/>
                <w:sz w:val="22"/>
              </w:rPr>
              <w:t>微晶玻璃</w:t>
            </w:r>
          </w:p>
        </w:tc>
        <w:tc>
          <w:tcPr>
            <w:tcW w:w="890" w:type="pct"/>
            <w:vAlign w:val="center"/>
          </w:tcPr>
          <w:p w14:paraId="705C5180">
            <w:pPr>
              <w:jc w:val="center"/>
              <w:rPr>
                <w:rFonts w:ascii="宋体" w:hAnsi="宋体" w:eastAsia="宋体" w:cs="Times New Roman"/>
                <w:color w:val="000000"/>
                <w:sz w:val="22"/>
              </w:rPr>
            </w:pPr>
            <w:r>
              <w:rPr>
                <w:rFonts w:ascii="宋体" w:hAnsi="宋体" w:eastAsia="宋体" w:cs="Times New Roman"/>
                <w:color w:val="000000"/>
                <w:sz w:val="22"/>
              </w:rPr>
              <w:t>1</w:t>
            </w:r>
          </w:p>
        </w:tc>
        <w:tc>
          <w:tcPr>
            <w:tcW w:w="497" w:type="pct"/>
            <w:vAlign w:val="center"/>
          </w:tcPr>
          <w:p w14:paraId="293FCDF6">
            <w:pPr>
              <w:jc w:val="center"/>
              <w:rPr>
                <w:rFonts w:ascii="宋体" w:hAnsi="宋体" w:eastAsia="宋体" w:cs="Times New Roman"/>
                <w:color w:val="000000"/>
                <w:sz w:val="22"/>
              </w:rPr>
            </w:pPr>
            <w:r>
              <w:rPr>
                <w:rFonts w:ascii="宋体" w:hAnsi="宋体" w:eastAsia="宋体" w:cs="Times New Roman"/>
                <w:color w:val="000000"/>
                <w:sz w:val="22"/>
              </w:rPr>
              <w:t>t</w:t>
            </w:r>
          </w:p>
        </w:tc>
        <w:tc>
          <w:tcPr>
            <w:tcW w:w="1196" w:type="pct"/>
            <w:vAlign w:val="center"/>
          </w:tcPr>
          <w:p w14:paraId="69461E91">
            <w:pPr>
              <w:jc w:val="center"/>
              <w:rPr>
                <w:rFonts w:ascii="宋体" w:hAnsi="宋体" w:eastAsia="宋体" w:cs="Times New Roman"/>
                <w:color w:val="000000"/>
                <w:sz w:val="22"/>
              </w:rPr>
            </w:pPr>
            <w:r>
              <w:rPr>
                <w:rFonts w:ascii="宋体" w:hAnsi="宋体" w:eastAsia="宋体" w:cs="Times New Roman"/>
                <w:color w:val="000000"/>
                <w:sz w:val="22"/>
              </w:rPr>
              <w:t>--</w:t>
            </w:r>
          </w:p>
        </w:tc>
      </w:tr>
      <w:tr w14:paraId="51BD483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57CDBBA8">
            <w:pPr>
              <w:jc w:val="center"/>
              <w:rPr>
                <w:rFonts w:ascii="宋体" w:hAnsi="宋体" w:eastAsia="宋体" w:cs="Times New Roman"/>
                <w:b w:val="0"/>
                <w:bCs/>
                <w:color w:val="000000"/>
                <w:sz w:val="22"/>
              </w:rPr>
            </w:pPr>
            <w:r>
              <w:rPr>
                <w:rFonts w:ascii="宋体" w:hAnsi="宋体" w:eastAsia="宋体" w:cs="Times New Roman"/>
                <w:b/>
                <w:bCs/>
                <w:color w:val="000000"/>
                <w:sz w:val="22"/>
              </w:rPr>
              <w:t>原材料/物料</w:t>
            </w:r>
          </w:p>
        </w:tc>
        <w:tc>
          <w:tcPr>
            <w:tcW w:w="1002" w:type="pct"/>
            <w:vAlign w:val="center"/>
          </w:tcPr>
          <w:p w14:paraId="7E429035">
            <w:pPr>
              <w:jc w:val="center"/>
              <w:rPr>
                <w:rFonts w:ascii="宋体" w:hAnsi="宋体" w:eastAsia="宋体" w:cs="Times New Roman"/>
                <w:color w:val="000000"/>
                <w:sz w:val="22"/>
              </w:rPr>
            </w:pPr>
            <w:r>
              <w:rPr>
                <w:rFonts w:ascii="宋体" w:hAnsi="宋体" w:eastAsia="宋体" w:cs="Times New Roman"/>
                <w:color w:val="000000"/>
                <w:sz w:val="22"/>
              </w:rPr>
              <w:t>玻璃带</w:t>
            </w:r>
          </w:p>
        </w:tc>
        <w:tc>
          <w:tcPr>
            <w:tcW w:w="890" w:type="pct"/>
            <w:vAlign w:val="center"/>
          </w:tcPr>
          <w:p w14:paraId="4E1090A4">
            <w:pPr>
              <w:jc w:val="center"/>
              <w:rPr>
                <w:rFonts w:ascii="宋体" w:hAnsi="宋体" w:eastAsia="宋体" w:cs="Times New Roman"/>
                <w:color w:val="000000"/>
                <w:sz w:val="22"/>
              </w:rPr>
            </w:pPr>
            <w:r>
              <w:rPr>
                <w:rFonts w:ascii="宋体" w:hAnsi="宋体" w:eastAsia="宋体" w:cs="Times New Roman"/>
                <w:color w:val="000000"/>
                <w:sz w:val="22"/>
              </w:rPr>
              <w:t>1</w:t>
            </w:r>
          </w:p>
        </w:tc>
        <w:tc>
          <w:tcPr>
            <w:tcW w:w="497" w:type="pct"/>
            <w:vAlign w:val="center"/>
          </w:tcPr>
          <w:p w14:paraId="2359171E">
            <w:pPr>
              <w:jc w:val="center"/>
              <w:rPr>
                <w:rFonts w:ascii="宋体" w:hAnsi="宋体" w:eastAsia="宋体" w:cs="Times New Roman"/>
                <w:color w:val="000000"/>
                <w:sz w:val="22"/>
              </w:rPr>
            </w:pPr>
            <w:r>
              <w:rPr>
                <w:rFonts w:ascii="宋体" w:hAnsi="宋体" w:eastAsia="宋体" w:cs="Times New Roman"/>
                <w:color w:val="000000"/>
                <w:sz w:val="22"/>
              </w:rPr>
              <w:t>t</w:t>
            </w:r>
          </w:p>
        </w:tc>
        <w:tc>
          <w:tcPr>
            <w:tcW w:w="1196" w:type="pct"/>
            <w:vAlign w:val="center"/>
          </w:tcPr>
          <w:p w14:paraId="275A8B0D">
            <w:pPr>
              <w:jc w:val="center"/>
              <w:rPr>
                <w:rFonts w:ascii="宋体" w:hAnsi="宋体" w:eastAsia="宋体" w:cs="Times New Roman"/>
                <w:color w:val="000000"/>
                <w:sz w:val="22"/>
              </w:rPr>
            </w:pPr>
            <w:r>
              <w:rPr>
                <w:rFonts w:ascii="宋体" w:hAnsi="宋体" w:eastAsia="宋体" w:cs="Times New Roman"/>
                <w:color w:val="000000"/>
                <w:sz w:val="22"/>
              </w:rPr>
              <w:t>实景过程数据</w:t>
            </w:r>
          </w:p>
        </w:tc>
      </w:tr>
      <w:tr w14:paraId="6C703A2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21EF014B">
            <w:pPr>
              <w:jc w:val="center"/>
              <w:rPr>
                <w:rFonts w:ascii="宋体" w:hAnsi="宋体" w:eastAsia="宋体" w:cs="Times New Roman"/>
                <w:b w:val="0"/>
                <w:bCs/>
                <w:color w:val="000000"/>
                <w:sz w:val="22"/>
              </w:rPr>
            </w:pPr>
            <w:r>
              <w:rPr>
                <w:rFonts w:ascii="宋体" w:hAnsi="宋体" w:eastAsia="宋体" w:cs="Times New Roman"/>
                <w:b/>
                <w:bCs/>
                <w:color w:val="000000"/>
                <w:sz w:val="22"/>
              </w:rPr>
              <w:t>能耗</w:t>
            </w:r>
          </w:p>
        </w:tc>
        <w:tc>
          <w:tcPr>
            <w:tcW w:w="1002" w:type="pct"/>
            <w:vAlign w:val="center"/>
          </w:tcPr>
          <w:p w14:paraId="557852F3">
            <w:pPr>
              <w:jc w:val="center"/>
              <w:rPr>
                <w:rFonts w:ascii="宋体" w:hAnsi="宋体" w:eastAsia="宋体" w:cs="Times New Roman"/>
                <w:color w:val="000000"/>
                <w:sz w:val="22"/>
              </w:rPr>
            </w:pPr>
            <w:r>
              <w:rPr>
                <w:rFonts w:ascii="宋体" w:hAnsi="宋体" w:eastAsia="宋体" w:cs="Times New Roman"/>
                <w:color w:val="000000"/>
                <w:sz w:val="22"/>
              </w:rPr>
              <w:t>电力（全国平均）</w:t>
            </w:r>
          </w:p>
        </w:tc>
        <w:tc>
          <w:tcPr>
            <w:tcW w:w="890" w:type="pct"/>
            <w:vAlign w:val="center"/>
          </w:tcPr>
          <w:p w14:paraId="64D15A66">
            <w:pPr>
              <w:jc w:val="center"/>
              <w:rPr>
                <w:rFonts w:ascii="宋体" w:hAnsi="宋体" w:eastAsia="宋体" w:cs="Times New Roman"/>
                <w:color w:val="000000"/>
                <w:sz w:val="22"/>
              </w:rPr>
            </w:pPr>
            <w:r>
              <w:rPr>
                <w:rFonts w:ascii="宋体" w:hAnsi="宋体" w:eastAsia="宋体" w:cs="Times New Roman"/>
                <w:color w:val="000000"/>
                <w:sz w:val="22"/>
              </w:rPr>
              <w:t>918.47</w:t>
            </w:r>
          </w:p>
        </w:tc>
        <w:tc>
          <w:tcPr>
            <w:tcW w:w="497" w:type="pct"/>
            <w:vAlign w:val="center"/>
          </w:tcPr>
          <w:p w14:paraId="26356C15">
            <w:pPr>
              <w:jc w:val="center"/>
              <w:rPr>
                <w:rFonts w:ascii="宋体" w:hAnsi="宋体" w:eastAsia="宋体" w:cs="Times New Roman"/>
                <w:color w:val="000000"/>
                <w:sz w:val="22"/>
              </w:rPr>
            </w:pPr>
            <w:r>
              <w:rPr>
                <w:rFonts w:ascii="宋体" w:hAnsi="宋体" w:eastAsia="宋体" w:cs="Times New Roman"/>
                <w:color w:val="000000"/>
                <w:sz w:val="22"/>
              </w:rPr>
              <w:t>kWh</w:t>
            </w:r>
          </w:p>
        </w:tc>
        <w:tc>
          <w:tcPr>
            <w:tcW w:w="1196" w:type="pct"/>
            <w:vAlign w:val="center"/>
          </w:tcPr>
          <w:p w14:paraId="5BD953B4">
            <w:pPr>
              <w:jc w:val="center"/>
              <w:rPr>
                <w:rFonts w:ascii="宋体" w:hAnsi="宋体" w:eastAsia="宋体" w:cs="Times New Roman"/>
                <w:color w:val="000000"/>
                <w:sz w:val="22"/>
              </w:rPr>
            </w:pPr>
            <w:r>
              <w:rPr>
                <w:rFonts w:ascii="宋体" w:hAnsi="宋体" w:eastAsia="宋体" w:cs="Times New Roman"/>
                <w:color w:val="000000"/>
                <w:sz w:val="22"/>
              </w:rPr>
              <w:t>CLCD-2023  0.9.6</w:t>
            </w:r>
          </w:p>
        </w:tc>
      </w:tr>
    </w:tbl>
    <w:p w14:paraId="521CD55D">
      <w:pPr>
        <w:pStyle w:val="48"/>
        <w:spacing w:before="0" w:after="0" w:line="240" w:lineRule="auto"/>
        <w:rPr>
          <w:rFonts w:ascii="Times New Roman" w:hAnsi="Times New Roman" w:cs="Times New Roman"/>
        </w:rPr>
      </w:pPr>
      <w:bookmarkStart w:id="76" w:name="_Toc7586"/>
      <w:bookmarkStart w:id="77" w:name="_Toc1927"/>
      <w:r>
        <w:rPr>
          <w:rFonts w:ascii="Times New Roman" w:hAnsi="Times New Roman" w:cs="Times New Roman"/>
        </w:rPr>
        <w:t>2.2.玻璃带</w:t>
      </w:r>
      <w:bookmarkEnd w:id="76"/>
      <w:bookmarkEnd w:id="77"/>
    </w:p>
    <w:p w14:paraId="5F06D80C">
      <w:pPr>
        <w:spacing w:line="360" w:lineRule="auto"/>
        <w:rPr>
          <w:rFonts w:eastAsia="宋体"/>
          <w:sz w:val="24"/>
          <w:szCs w:val="24"/>
        </w:rPr>
      </w:pPr>
      <w:r>
        <w:rPr>
          <w:rFonts w:hint="eastAsia" w:ascii="宋体" w:hAnsi="宋体" w:eastAsia="宋体"/>
          <w:sz w:val="24"/>
          <w:szCs w:val="24"/>
        </w:rPr>
        <w:t>（1）</w:t>
      </w:r>
      <w:r>
        <w:rPr>
          <w:rFonts w:eastAsia="宋体"/>
          <w:sz w:val="24"/>
          <w:szCs w:val="24"/>
        </w:rPr>
        <w:t>过程基本信息</w:t>
      </w:r>
    </w:p>
    <w:p w14:paraId="219E0E01">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过程名称：玻璃带</w:t>
      </w:r>
    </w:p>
    <w:p w14:paraId="254ADE4F">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过程边界：压延成型</w:t>
      </w:r>
    </w:p>
    <w:p w14:paraId="1CB5C986">
      <w:pPr>
        <w:spacing w:line="360" w:lineRule="auto"/>
        <w:rPr>
          <w:rFonts w:ascii="Times New Roman" w:hAnsi="Times New Roman" w:eastAsia="宋体" w:cs="Times New Roman"/>
          <w:sz w:val="24"/>
          <w:szCs w:val="24"/>
        </w:rPr>
      </w:pPr>
      <w:r>
        <w:rPr>
          <w:rFonts w:hint="eastAsia" w:ascii="宋体" w:hAnsi="宋体" w:eastAsia="宋体"/>
          <w:sz w:val="24"/>
          <w:szCs w:val="24"/>
        </w:rPr>
        <w:t>（2）</w:t>
      </w:r>
      <w:r>
        <w:rPr>
          <w:rFonts w:eastAsia="宋体"/>
          <w:sz w:val="24"/>
          <w:szCs w:val="24"/>
        </w:rPr>
        <w:t>数据代表性</w:t>
      </w:r>
    </w:p>
    <w:p w14:paraId="2C7B1E00">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主要数据来源：</w:t>
      </w:r>
      <w:r>
        <w:rPr>
          <w:rFonts w:hint="eastAsia" w:ascii="Times New Roman" w:hAnsi="Times New Roman" w:eastAsia="宋体" w:cs="Times New Roman"/>
          <w:sz w:val="24"/>
          <w:szCs w:val="24"/>
        </w:rPr>
        <w:t>生产实测/台帐</w:t>
      </w:r>
    </w:p>
    <w:p w14:paraId="49A8950E">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企业名称：</w:t>
      </w:r>
      <w:r>
        <w:rPr>
          <w:rFonts w:hint="eastAsia" w:ascii="Times New Roman" w:hAnsi="Times New Roman" w:eastAsia="宋体" w:cs="Times New Roman"/>
          <w:sz w:val="24"/>
          <w:szCs w:val="24"/>
        </w:rPr>
        <w:t>陕西生态龙门绿碳产业有限公司</w:t>
      </w:r>
    </w:p>
    <w:p w14:paraId="1322F4F2">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产地：</w:t>
      </w:r>
      <w:r>
        <w:rPr>
          <w:rFonts w:hint="eastAsia" w:ascii="Times New Roman" w:hAnsi="Times New Roman" w:eastAsia="宋体" w:cs="Times New Roman"/>
          <w:sz w:val="24"/>
          <w:szCs w:val="24"/>
        </w:rPr>
        <w:t>中国</w:t>
      </w:r>
    </w:p>
    <w:p w14:paraId="54729269">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基准年：2025</w:t>
      </w:r>
    </w:p>
    <w:p w14:paraId="37780ABE">
      <w:pPr>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工艺设备：压延</w:t>
      </w:r>
      <w:r>
        <w:rPr>
          <w:rFonts w:hint="eastAsia" w:ascii="Times New Roman" w:hAnsi="Times New Roman" w:eastAsia="宋体" w:cs="Times New Roman"/>
          <w:color w:val="000000"/>
          <w:sz w:val="24"/>
          <w:szCs w:val="24"/>
        </w:rPr>
        <w:t>机</w:t>
      </w:r>
    </w:p>
    <w:p w14:paraId="363847AB">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主要原料：</w:t>
      </w:r>
      <w:r>
        <w:rPr>
          <w:rFonts w:hint="eastAsia" w:ascii="Times New Roman" w:hAnsi="Times New Roman" w:eastAsia="宋体" w:cs="Times New Roman"/>
          <w:sz w:val="24"/>
          <w:szCs w:val="24"/>
        </w:rPr>
        <w:t>玻璃液</w:t>
      </w:r>
    </w:p>
    <w:p w14:paraId="3227E8B6">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主要能耗：</w:t>
      </w:r>
      <w:r>
        <w:rPr>
          <w:rFonts w:hint="eastAsia" w:ascii="Times New Roman" w:hAnsi="Times New Roman" w:eastAsia="宋体" w:cs="Times New Roman"/>
          <w:sz w:val="24"/>
          <w:szCs w:val="24"/>
        </w:rPr>
        <w:t>电力、天然气</w:t>
      </w:r>
    </w:p>
    <w:p w14:paraId="66D7FAD5">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生产规模：</w:t>
      </w:r>
      <w:r>
        <w:rPr>
          <w:rFonts w:hint="eastAsia" w:ascii="Times New Roman" w:hAnsi="Times New Roman" w:eastAsia="宋体" w:cs="Times New Roman"/>
          <w:sz w:val="24"/>
          <w:szCs w:val="24"/>
        </w:rPr>
        <w:t>1t</w:t>
      </w:r>
    </w:p>
    <w:p w14:paraId="1546BD45">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表</w:t>
      </w:r>
      <w:r>
        <w:rPr>
          <w:rFonts w:hint="eastAsia" w:ascii="Times New Roman" w:hAnsi="Times New Roman" w:eastAsia="宋体" w:cs="Times New Roman"/>
          <w:color w:val="000000"/>
          <w:sz w:val="22"/>
        </w:rPr>
        <w:t>2.2</w:t>
      </w:r>
      <w:r>
        <w:rPr>
          <w:rFonts w:ascii="Times New Roman" w:hAnsi="Times New Roman" w:eastAsia="宋体" w:cs="Times New Roman"/>
          <w:color w:val="000000"/>
          <w:sz w:val="22"/>
        </w:rPr>
        <w:t>过程清单数据表</w:t>
      </w:r>
    </w:p>
    <w:tbl>
      <w:tblPr>
        <w:tblStyle w:val="62"/>
        <w:tblW w:w="4998"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08"/>
        <w:gridCol w:w="1708"/>
        <w:gridCol w:w="1517"/>
        <w:gridCol w:w="847"/>
        <w:gridCol w:w="2039"/>
      </w:tblGrid>
      <w:tr w14:paraId="3516A8C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1413" w:type="pct"/>
            <w:tcBorders>
              <w:top w:val="nil"/>
              <w:left w:val="single" w:color="000000" w:sz="4" w:space="0"/>
              <w:bottom w:val="single" w:color="000000" w:sz="4" w:space="0"/>
              <w:right w:val="nil"/>
              <w:insideV w:val="nil"/>
              <w:tl2br w:val="nil"/>
              <w:tr2bl w:val="nil"/>
            </w:tcBorders>
            <w:vAlign w:val="center"/>
          </w:tcPr>
          <w:p w14:paraId="194439C5">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类型</w:t>
            </w:r>
          </w:p>
        </w:tc>
        <w:tc>
          <w:tcPr>
            <w:tcW w:w="1002" w:type="pct"/>
            <w:tcBorders>
              <w:top w:val="nil"/>
              <w:bottom w:val="single" w:color="000000" w:sz="4" w:space="0"/>
              <w:right w:val="nil"/>
              <w:insideV w:val="nil"/>
              <w:tl2br w:val="nil"/>
              <w:tr2bl w:val="nil"/>
            </w:tcBorders>
            <w:vAlign w:val="center"/>
          </w:tcPr>
          <w:p w14:paraId="6AA46F8D">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清单名称</w:t>
            </w:r>
          </w:p>
        </w:tc>
        <w:tc>
          <w:tcPr>
            <w:tcW w:w="890" w:type="pct"/>
            <w:tcBorders>
              <w:top w:val="nil"/>
              <w:bottom w:val="single" w:color="000000" w:sz="4" w:space="0"/>
              <w:right w:val="nil"/>
              <w:insideV w:val="nil"/>
              <w:tl2br w:val="nil"/>
              <w:tr2bl w:val="nil"/>
            </w:tcBorders>
            <w:vAlign w:val="center"/>
          </w:tcPr>
          <w:p w14:paraId="0F00B6A0">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数量</w:t>
            </w:r>
          </w:p>
        </w:tc>
        <w:tc>
          <w:tcPr>
            <w:tcW w:w="497" w:type="pct"/>
            <w:tcBorders>
              <w:top w:val="nil"/>
              <w:bottom w:val="single" w:color="000000" w:sz="4" w:space="0"/>
              <w:right w:val="nil"/>
              <w:insideV w:val="nil"/>
              <w:tl2br w:val="nil"/>
              <w:tr2bl w:val="nil"/>
            </w:tcBorders>
            <w:vAlign w:val="center"/>
          </w:tcPr>
          <w:p w14:paraId="67B86204">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单位</w:t>
            </w:r>
          </w:p>
        </w:tc>
        <w:tc>
          <w:tcPr>
            <w:tcW w:w="1196" w:type="pct"/>
            <w:tcBorders>
              <w:top w:val="nil"/>
              <w:bottom w:val="single" w:color="000000" w:sz="4" w:space="0"/>
              <w:right w:val="nil"/>
              <w:insideV w:val="nil"/>
              <w:tl2br w:val="nil"/>
              <w:tr2bl w:val="nil"/>
            </w:tcBorders>
            <w:vAlign w:val="center"/>
          </w:tcPr>
          <w:p w14:paraId="7E172F38">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上游数据来源</w:t>
            </w:r>
          </w:p>
        </w:tc>
      </w:tr>
      <w:tr w14:paraId="0D6C6B8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5B85A1EF">
            <w:pPr>
              <w:jc w:val="center"/>
              <w:rPr>
                <w:rFonts w:ascii="宋体" w:hAnsi="宋体" w:eastAsia="宋体" w:cs="Times New Roman"/>
                <w:b w:val="0"/>
                <w:bCs/>
                <w:color w:val="000000"/>
                <w:sz w:val="22"/>
              </w:rPr>
            </w:pPr>
            <w:r>
              <w:rPr>
                <w:rFonts w:ascii="宋体" w:hAnsi="宋体" w:eastAsia="宋体" w:cs="Times New Roman"/>
                <w:b/>
                <w:bCs/>
                <w:color w:val="000000"/>
                <w:sz w:val="22"/>
              </w:rPr>
              <w:t>产品产出</w:t>
            </w:r>
          </w:p>
        </w:tc>
        <w:tc>
          <w:tcPr>
            <w:tcW w:w="1002" w:type="pct"/>
            <w:vAlign w:val="center"/>
          </w:tcPr>
          <w:p w14:paraId="15C8650C">
            <w:pPr>
              <w:jc w:val="center"/>
              <w:rPr>
                <w:rFonts w:ascii="宋体" w:hAnsi="宋体" w:eastAsia="宋体" w:cs="Times New Roman"/>
                <w:color w:val="000000"/>
                <w:sz w:val="22"/>
              </w:rPr>
            </w:pPr>
            <w:r>
              <w:rPr>
                <w:rFonts w:ascii="宋体" w:hAnsi="宋体" w:eastAsia="宋体" w:cs="Times New Roman"/>
                <w:color w:val="000000"/>
                <w:sz w:val="22"/>
              </w:rPr>
              <w:t>玻璃带</w:t>
            </w:r>
          </w:p>
        </w:tc>
        <w:tc>
          <w:tcPr>
            <w:tcW w:w="890" w:type="pct"/>
            <w:vAlign w:val="center"/>
          </w:tcPr>
          <w:p w14:paraId="7F6BE481">
            <w:pPr>
              <w:jc w:val="center"/>
              <w:rPr>
                <w:rFonts w:ascii="宋体" w:hAnsi="宋体" w:eastAsia="宋体" w:cs="Times New Roman"/>
                <w:color w:val="000000"/>
                <w:sz w:val="22"/>
              </w:rPr>
            </w:pPr>
            <w:r>
              <w:rPr>
                <w:rFonts w:ascii="宋体" w:hAnsi="宋体" w:eastAsia="宋体" w:cs="Times New Roman"/>
                <w:color w:val="000000"/>
                <w:sz w:val="22"/>
              </w:rPr>
              <w:t>1</w:t>
            </w:r>
          </w:p>
        </w:tc>
        <w:tc>
          <w:tcPr>
            <w:tcW w:w="497" w:type="pct"/>
            <w:vAlign w:val="center"/>
          </w:tcPr>
          <w:p w14:paraId="46204407">
            <w:pPr>
              <w:jc w:val="center"/>
              <w:rPr>
                <w:rFonts w:ascii="宋体" w:hAnsi="宋体" w:eastAsia="宋体" w:cs="Times New Roman"/>
                <w:color w:val="000000"/>
                <w:sz w:val="22"/>
              </w:rPr>
            </w:pPr>
            <w:r>
              <w:rPr>
                <w:rFonts w:ascii="宋体" w:hAnsi="宋体" w:eastAsia="宋体" w:cs="Times New Roman"/>
                <w:color w:val="000000"/>
                <w:sz w:val="22"/>
              </w:rPr>
              <w:t>t</w:t>
            </w:r>
          </w:p>
        </w:tc>
        <w:tc>
          <w:tcPr>
            <w:tcW w:w="1196" w:type="pct"/>
            <w:vAlign w:val="center"/>
          </w:tcPr>
          <w:p w14:paraId="73A5D73D">
            <w:pPr>
              <w:jc w:val="center"/>
              <w:rPr>
                <w:rFonts w:ascii="宋体" w:hAnsi="宋体" w:eastAsia="宋体" w:cs="Times New Roman"/>
                <w:color w:val="000000"/>
                <w:sz w:val="22"/>
              </w:rPr>
            </w:pPr>
            <w:r>
              <w:rPr>
                <w:rFonts w:ascii="宋体" w:hAnsi="宋体" w:eastAsia="宋体" w:cs="Times New Roman"/>
                <w:color w:val="000000"/>
                <w:sz w:val="22"/>
              </w:rPr>
              <w:t>--</w:t>
            </w:r>
          </w:p>
        </w:tc>
      </w:tr>
      <w:tr w14:paraId="2B05A76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6EC15076">
            <w:pPr>
              <w:jc w:val="center"/>
              <w:rPr>
                <w:rFonts w:ascii="宋体" w:hAnsi="宋体" w:eastAsia="宋体" w:cs="Times New Roman"/>
                <w:b w:val="0"/>
                <w:bCs/>
                <w:color w:val="000000"/>
                <w:sz w:val="22"/>
              </w:rPr>
            </w:pPr>
            <w:r>
              <w:rPr>
                <w:rFonts w:ascii="宋体" w:hAnsi="宋体" w:eastAsia="宋体" w:cs="Times New Roman"/>
                <w:b/>
                <w:bCs/>
                <w:color w:val="000000"/>
                <w:sz w:val="22"/>
              </w:rPr>
              <w:t>原材料/物料</w:t>
            </w:r>
          </w:p>
        </w:tc>
        <w:tc>
          <w:tcPr>
            <w:tcW w:w="1002" w:type="pct"/>
            <w:vAlign w:val="center"/>
          </w:tcPr>
          <w:p w14:paraId="22BED330">
            <w:pPr>
              <w:jc w:val="center"/>
              <w:rPr>
                <w:rFonts w:ascii="宋体" w:hAnsi="宋体" w:eastAsia="宋体" w:cs="Times New Roman"/>
                <w:color w:val="000000"/>
                <w:sz w:val="22"/>
              </w:rPr>
            </w:pPr>
            <w:r>
              <w:rPr>
                <w:rFonts w:ascii="宋体" w:hAnsi="宋体" w:eastAsia="宋体" w:cs="Times New Roman"/>
                <w:color w:val="000000"/>
                <w:sz w:val="22"/>
              </w:rPr>
              <w:t>玻璃液</w:t>
            </w:r>
          </w:p>
        </w:tc>
        <w:tc>
          <w:tcPr>
            <w:tcW w:w="890" w:type="pct"/>
            <w:vAlign w:val="center"/>
          </w:tcPr>
          <w:p w14:paraId="3635516F">
            <w:pPr>
              <w:jc w:val="center"/>
              <w:rPr>
                <w:rFonts w:ascii="宋体" w:hAnsi="宋体" w:eastAsia="宋体" w:cs="Times New Roman"/>
                <w:color w:val="000000"/>
                <w:sz w:val="22"/>
              </w:rPr>
            </w:pPr>
            <w:r>
              <w:rPr>
                <w:rFonts w:ascii="宋体" w:hAnsi="宋体" w:eastAsia="宋体" w:cs="Times New Roman"/>
                <w:color w:val="000000"/>
                <w:sz w:val="22"/>
              </w:rPr>
              <w:t>1</w:t>
            </w:r>
          </w:p>
        </w:tc>
        <w:tc>
          <w:tcPr>
            <w:tcW w:w="497" w:type="pct"/>
            <w:vAlign w:val="center"/>
          </w:tcPr>
          <w:p w14:paraId="10D8D291">
            <w:pPr>
              <w:jc w:val="center"/>
              <w:rPr>
                <w:rFonts w:ascii="宋体" w:hAnsi="宋体" w:eastAsia="宋体" w:cs="Times New Roman"/>
                <w:color w:val="000000"/>
                <w:sz w:val="22"/>
              </w:rPr>
            </w:pPr>
            <w:r>
              <w:rPr>
                <w:rFonts w:ascii="宋体" w:hAnsi="宋体" w:eastAsia="宋体" w:cs="Times New Roman"/>
                <w:color w:val="000000"/>
                <w:sz w:val="22"/>
              </w:rPr>
              <w:t>t</w:t>
            </w:r>
          </w:p>
        </w:tc>
        <w:tc>
          <w:tcPr>
            <w:tcW w:w="1196" w:type="pct"/>
            <w:vAlign w:val="center"/>
          </w:tcPr>
          <w:p w14:paraId="33FEAE88">
            <w:pPr>
              <w:jc w:val="center"/>
              <w:rPr>
                <w:rFonts w:ascii="宋体" w:hAnsi="宋体" w:eastAsia="宋体" w:cs="Times New Roman"/>
                <w:color w:val="000000"/>
                <w:sz w:val="22"/>
              </w:rPr>
            </w:pPr>
            <w:r>
              <w:rPr>
                <w:rFonts w:ascii="宋体" w:hAnsi="宋体" w:eastAsia="宋体" w:cs="Times New Roman"/>
                <w:color w:val="000000"/>
                <w:sz w:val="22"/>
              </w:rPr>
              <w:t>实景过程数据</w:t>
            </w:r>
          </w:p>
        </w:tc>
      </w:tr>
      <w:tr w14:paraId="31B1A84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6FADC786">
            <w:pPr>
              <w:jc w:val="center"/>
              <w:rPr>
                <w:rFonts w:ascii="宋体" w:hAnsi="宋体" w:eastAsia="宋体" w:cs="Times New Roman"/>
                <w:b w:val="0"/>
                <w:bCs/>
                <w:color w:val="000000"/>
                <w:sz w:val="22"/>
              </w:rPr>
            </w:pPr>
            <w:r>
              <w:rPr>
                <w:rFonts w:ascii="宋体" w:hAnsi="宋体" w:eastAsia="宋体" w:cs="Times New Roman"/>
                <w:b/>
                <w:bCs/>
                <w:color w:val="000000"/>
                <w:sz w:val="22"/>
              </w:rPr>
              <w:t>能耗</w:t>
            </w:r>
          </w:p>
        </w:tc>
        <w:tc>
          <w:tcPr>
            <w:tcW w:w="1002" w:type="pct"/>
            <w:vAlign w:val="center"/>
          </w:tcPr>
          <w:p w14:paraId="5D9D331C">
            <w:pPr>
              <w:jc w:val="center"/>
              <w:rPr>
                <w:rFonts w:ascii="宋体" w:hAnsi="宋体" w:eastAsia="宋体" w:cs="Times New Roman"/>
                <w:color w:val="000000"/>
                <w:sz w:val="22"/>
              </w:rPr>
            </w:pPr>
            <w:r>
              <w:rPr>
                <w:rFonts w:ascii="宋体" w:hAnsi="宋体" w:eastAsia="宋体" w:cs="Times New Roman"/>
                <w:color w:val="000000"/>
                <w:sz w:val="22"/>
              </w:rPr>
              <w:t>电力（全国平均）</w:t>
            </w:r>
          </w:p>
        </w:tc>
        <w:tc>
          <w:tcPr>
            <w:tcW w:w="890" w:type="pct"/>
            <w:vAlign w:val="center"/>
          </w:tcPr>
          <w:p w14:paraId="6C9177F3">
            <w:pPr>
              <w:jc w:val="center"/>
              <w:rPr>
                <w:rFonts w:ascii="宋体" w:hAnsi="宋体" w:eastAsia="宋体" w:cs="Times New Roman"/>
                <w:color w:val="000000"/>
                <w:sz w:val="22"/>
              </w:rPr>
            </w:pPr>
            <w:r>
              <w:rPr>
                <w:rFonts w:ascii="宋体" w:hAnsi="宋体" w:eastAsia="宋体" w:cs="Times New Roman"/>
                <w:color w:val="000000"/>
                <w:sz w:val="22"/>
              </w:rPr>
              <w:t>2.12</w:t>
            </w:r>
          </w:p>
        </w:tc>
        <w:tc>
          <w:tcPr>
            <w:tcW w:w="497" w:type="pct"/>
            <w:vAlign w:val="center"/>
          </w:tcPr>
          <w:p w14:paraId="1DC23704">
            <w:pPr>
              <w:jc w:val="center"/>
              <w:rPr>
                <w:rFonts w:ascii="宋体" w:hAnsi="宋体" w:eastAsia="宋体" w:cs="Times New Roman"/>
                <w:color w:val="000000"/>
                <w:sz w:val="22"/>
              </w:rPr>
            </w:pPr>
            <w:r>
              <w:rPr>
                <w:rFonts w:ascii="宋体" w:hAnsi="宋体" w:eastAsia="宋体" w:cs="Times New Roman"/>
                <w:color w:val="000000"/>
                <w:sz w:val="22"/>
              </w:rPr>
              <w:t>kWh</w:t>
            </w:r>
          </w:p>
        </w:tc>
        <w:tc>
          <w:tcPr>
            <w:tcW w:w="1196" w:type="pct"/>
            <w:vAlign w:val="center"/>
          </w:tcPr>
          <w:p w14:paraId="217CC841">
            <w:pPr>
              <w:jc w:val="center"/>
              <w:rPr>
                <w:rFonts w:ascii="宋体" w:hAnsi="宋体" w:eastAsia="宋体" w:cs="Times New Roman"/>
                <w:color w:val="000000"/>
                <w:sz w:val="22"/>
              </w:rPr>
            </w:pPr>
            <w:r>
              <w:rPr>
                <w:rFonts w:ascii="宋体" w:hAnsi="宋体" w:eastAsia="宋体" w:cs="Times New Roman"/>
                <w:color w:val="000000"/>
                <w:sz w:val="22"/>
              </w:rPr>
              <w:t>CLCD-2023  0.9.6</w:t>
            </w:r>
          </w:p>
        </w:tc>
      </w:tr>
      <w:tr w14:paraId="4511811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277916D1">
            <w:pPr>
              <w:jc w:val="center"/>
              <w:rPr>
                <w:rFonts w:ascii="宋体" w:hAnsi="宋体" w:eastAsia="宋体" w:cs="Times New Roman"/>
                <w:b w:val="0"/>
                <w:bCs/>
                <w:color w:val="000000"/>
                <w:sz w:val="22"/>
              </w:rPr>
            </w:pPr>
            <w:r>
              <w:rPr>
                <w:rFonts w:ascii="宋体" w:hAnsi="宋体" w:eastAsia="宋体" w:cs="Times New Roman"/>
                <w:b/>
                <w:bCs/>
                <w:color w:val="000000"/>
                <w:sz w:val="22"/>
              </w:rPr>
              <w:t>能耗</w:t>
            </w:r>
          </w:p>
        </w:tc>
        <w:tc>
          <w:tcPr>
            <w:tcW w:w="1002" w:type="pct"/>
            <w:vAlign w:val="center"/>
          </w:tcPr>
          <w:p w14:paraId="4D439E79">
            <w:pPr>
              <w:jc w:val="center"/>
              <w:rPr>
                <w:rFonts w:ascii="宋体" w:hAnsi="宋体" w:eastAsia="宋体" w:cs="Times New Roman"/>
                <w:color w:val="000000"/>
                <w:sz w:val="22"/>
              </w:rPr>
            </w:pPr>
            <w:r>
              <w:rPr>
                <w:rFonts w:ascii="宋体" w:hAnsi="宋体" w:eastAsia="宋体" w:cs="Times New Roman"/>
                <w:color w:val="000000"/>
                <w:sz w:val="22"/>
              </w:rPr>
              <w:t>天然气</w:t>
            </w:r>
          </w:p>
        </w:tc>
        <w:tc>
          <w:tcPr>
            <w:tcW w:w="890" w:type="pct"/>
            <w:vAlign w:val="center"/>
          </w:tcPr>
          <w:p w14:paraId="40833FA5">
            <w:pPr>
              <w:jc w:val="center"/>
              <w:rPr>
                <w:rFonts w:ascii="宋体" w:hAnsi="宋体" w:eastAsia="宋体" w:cs="Times New Roman"/>
                <w:color w:val="000000"/>
                <w:sz w:val="22"/>
              </w:rPr>
            </w:pPr>
            <w:r>
              <w:rPr>
                <w:rFonts w:ascii="宋体" w:hAnsi="宋体" w:eastAsia="宋体" w:cs="Times New Roman"/>
                <w:color w:val="000000"/>
                <w:sz w:val="22"/>
              </w:rPr>
              <w:t>2.92</w:t>
            </w:r>
          </w:p>
        </w:tc>
        <w:tc>
          <w:tcPr>
            <w:tcW w:w="497" w:type="pct"/>
            <w:vAlign w:val="center"/>
          </w:tcPr>
          <w:p w14:paraId="0B813CEF">
            <w:pPr>
              <w:jc w:val="center"/>
              <w:rPr>
                <w:rFonts w:ascii="宋体" w:hAnsi="宋体" w:eastAsia="宋体" w:cs="Times New Roman"/>
                <w:color w:val="000000"/>
                <w:sz w:val="22"/>
              </w:rPr>
            </w:pPr>
            <w:r>
              <w:rPr>
                <w:rFonts w:ascii="宋体" w:hAnsi="宋体" w:eastAsia="宋体" w:cs="Times New Roman"/>
                <w:color w:val="000000"/>
                <w:sz w:val="22"/>
              </w:rPr>
              <w:t>m</w:t>
            </w:r>
            <w:r>
              <w:rPr>
                <w:rFonts w:ascii="宋体" w:hAnsi="宋体" w:eastAsia="宋体" w:cs="Times New Roman"/>
                <w:color w:val="000000"/>
                <w:sz w:val="22"/>
                <w:vertAlign w:val="superscript"/>
              </w:rPr>
              <w:t>3</w:t>
            </w:r>
          </w:p>
        </w:tc>
        <w:tc>
          <w:tcPr>
            <w:tcW w:w="1196" w:type="pct"/>
            <w:vAlign w:val="center"/>
          </w:tcPr>
          <w:p w14:paraId="79CB7103">
            <w:pPr>
              <w:jc w:val="center"/>
              <w:rPr>
                <w:rFonts w:ascii="宋体" w:hAnsi="宋体" w:eastAsia="宋体" w:cs="Times New Roman"/>
                <w:color w:val="000000"/>
                <w:sz w:val="22"/>
              </w:rPr>
            </w:pPr>
            <w:r>
              <w:rPr>
                <w:rFonts w:ascii="宋体" w:hAnsi="宋体" w:eastAsia="宋体" w:cs="Times New Roman"/>
                <w:color w:val="000000"/>
                <w:sz w:val="22"/>
              </w:rPr>
              <w:t>CLCD-China 0.9</w:t>
            </w:r>
          </w:p>
        </w:tc>
      </w:tr>
    </w:tbl>
    <w:p w14:paraId="45BD4C56">
      <w:pPr>
        <w:pStyle w:val="48"/>
        <w:spacing w:before="0" w:after="0" w:line="240" w:lineRule="auto"/>
        <w:rPr>
          <w:rFonts w:ascii="Times New Roman" w:hAnsi="Times New Roman" w:cs="Times New Roman"/>
        </w:rPr>
      </w:pPr>
      <w:bookmarkStart w:id="78" w:name="_Toc31398"/>
      <w:bookmarkStart w:id="79" w:name="_Toc20080"/>
      <w:r>
        <w:rPr>
          <w:rFonts w:ascii="Times New Roman" w:hAnsi="Times New Roman" w:cs="Times New Roman"/>
        </w:rPr>
        <w:t>2.3.玻璃液</w:t>
      </w:r>
      <w:bookmarkEnd w:id="78"/>
      <w:bookmarkEnd w:id="79"/>
    </w:p>
    <w:p w14:paraId="24173A99">
      <w:pPr>
        <w:spacing w:line="360" w:lineRule="auto"/>
        <w:rPr>
          <w:rFonts w:eastAsia="宋体"/>
          <w:sz w:val="24"/>
          <w:szCs w:val="24"/>
        </w:rPr>
      </w:pPr>
      <w:r>
        <w:rPr>
          <w:rFonts w:hint="eastAsia" w:ascii="宋体" w:hAnsi="宋体" w:eastAsia="宋体"/>
          <w:sz w:val="24"/>
          <w:szCs w:val="24"/>
        </w:rPr>
        <w:t>（1）</w:t>
      </w:r>
      <w:r>
        <w:rPr>
          <w:rFonts w:eastAsia="宋体"/>
          <w:sz w:val="24"/>
          <w:szCs w:val="24"/>
        </w:rPr>
        <w:t>过程基本信息</w:t>
      </w:r>
    </w:p>
    <w:p w14:paraId="4571F4D9">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过程名称：玻璃液</w:t>
      </w:r>
    </w:p>
    <w:p w14:paraId="6AD6A41B">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过程边界：</w:t>
      </w:r>
      <w:r>
        <w:rPr>
          <w:rFonts w:hint="eastAsia" w:ascii="Times New Roman" w:hAnsi="Times New Roman" w:eastAsia="宋体" w:cs="Times New Roman"/>
          <w:sz w:val="24"/>
          <w:szCs w:val="24"/>
        </w:rPr>
        <w:t>配料</w:t>
      </w:r>
      <w:r>
        <w:rPr>
          <w:rFonts w:ascii="Times New Roman" w:hAnsi="Times New Roman" w:eastAsia="宋体" w:cs="Times New Roman"/>
          <w:sz w:val="24"/>
          <w:szCs w:val="24"/>
        </w:rPr>
        <w:t>投入+电炉熔化</w:t>
      </w:r>
    </w:p>
    <w:p w14:paraId="71A8DE6F">
      <w:pPr>
        <w:spacing w:line="360" w:lineRule="auto"/>
        <w:rPr>
          <w:rFonts w:ascii="Times New Roman" w:hAnsi="Times New Roman" w:eastAsia="宋体" w:cs="Times New Roman"/>
          <w:sz w:val="24"/>
          <w:szCs w:val="24"/>
        </w:rPr>
      </w:pPr>
      <w:r>
        <w:rPr>
          <w:rFonts w:hint="eastAsia" w:ascii="宋体" w:hAnsi="宋体" w:eastAsia="宋体"/>
          <w:sz w:val="24"/>
          <w:szCs w:val="24"/>
        </w:rPr>
        <w:t>（2）</w:t>
      </w:r>
      <w:r>
        <w:rPr>
          <w:rFonts w:eastAsia="宋体"/>
          <w:sz w:val="24"/>
          <w:szCs w:val="24"/>
        </w:rPr>
        <w:t>数据代表性</w:t>
      </w:r>
    </w:p>
    <w:p w14:paraId="3C8038AD">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主要数据来源：</w:t>
      </w:r>
      <w:r>
        <w:rPr>
          <w:rFonts w:hint="eastAsia" w:ascii="Times New Roman" w:hAnsi="Times New Roman" w:eastAsia="宋体" w:cs="Times New Roman"/>
          <w:sz w:val="24"/>
          <w:szCs w:val="24"/>
        </w:rPr>
        <w:t>生产实测/台帐</w:t>
      </w:r>
    </w:p>
    <w:p w14:paraId="621CA755">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企业名称：</w:t>
      </w:r>
      <w:r>
        <w:rPr>
          <w:rFonts w:hint="eastAsia" w:ascii="Times New Roman" w:hAnsi="Times New Roman" w:eastAsia="宋体" w:cs="Times New Roman"/>
          <w:sz w:val="24"/>
          <w:szCs w:val="24"/>
        </w:rPr>
        <w:t>陕西生态龙门绿碳产业有限公司</w:t>
      </w:r>
    </w:p>
    <w:p w14:paraId="4A3BB87B">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产地：</w:t>
      </w:r>
      <w:r>
        <w:rPr>
          <w:rFonts w:hint="eastAsia" w:ascii="Times New Roman" w:hAnsi="Times New Roman" w:eastAsia="宋体" w:cs="Times New Roman"/>
          <w:sz w:val="24"/>
          <w:szCs w:val="24"/>
        </w:rPr>
        <w:t>中国</w:t>
      </w:r>
    </w:p>
    <w:p w14:paraId="480521D6">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基准年：2025</w:t>
      </w:r>
    </w:p>
    <w:p w14:paraId="63CD81C2">
      <w:pPr>
        <w:spacing w:line="360" w:lineRule="auto"/>
        <w:rPr>
          <w:rFonts w:ascii="Times New Roman" w:hAnsi="Times New Roman" w:eastAsia="宋体" w:cs="Times New Roman"/>
          <w:sz w:val="24"/>
          <w:szCs w:val="24"/>
        </w:rPr>
      </w:pPr>
      <w:r>
        <w:rPr>
          <w:rFonts w:ascii="Times New Roman" w:hAnsi="Times New Roman" w:eastAsia="宋体" w:cs="Times New Roman"/>
          <w:color w:val="000000"/>
          <w:sz w:val="24"/>
          <w:szCs w:val="24"/>
        </w:rPr>
        <w:t>工艺设备：</w:t>
      </w:r>
      <w:r>
        <w:rPr>
          <w:rFonts w:hint="eastAsia" w:ascii="Times New Roman" w:hAnsi="Times New Roman" w:eastAsia="宋体" w:cs="Times New Roman"/>
          <w:sz w:val="24"/>
          <w:szCs w:val="24"/>
        </w:rPr>
        <w:t>配料系统、电熔窑</w:t>
      </w:r>
    </w:p>
    <w:p w14:paraId="10B06916">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主要原料：</w:t>
      </w:r>
      <w:r>
        <w:rPr>
          <w:rFonts w:hint="eastAsia" w:ascii="Times New Roman" w:hAnsi="Times New Roman" w:eastAsia="宋体" w:cs="Times New Roman"/>
          <w:sz w:val="24"/>
          <w:szCs w:val="24"/>
        </w:rPr>
        <w:t>煤矸石、石英砂、氟硅酸钠、纯碱、碳酸钙</w:t>
      </w:r>
    </w:p>
    <w:p w14:paraId="544339FB">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主要能耗：</w:t>
      </w:r>
      <w:r>
        <w:rPr>
          <w:rFonts w:hint="eastAsia" w:ascii="Times New Roman" w:hAnsi="Times New Roman" w:eastAsia="宋体" w:cs="Times New Roman"/>
          <w:sz w:val="24"/>
          <w:szCs w:val="24"/>
        </w:rPr>
        <w:t>电力、天然气</w:t>
      </w:r>
    </w:p>
    <w:p w14:paraId="3D98BEB0">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相关反应方程式：Na</w:t>
      </w:r>
      <w:r>
        <w:rPr>
          <w:rFonts w:hint="eastAsia" w:ascii="Times New Roman" w:hAnsi="Times New Roman" w:eastAsia="宋体" w:cs="Times New Roman"/>
          <w:sz w:val="24"/>
          <w:szCs w:val="24"/>
          <w:vertAlign w:val="subscript"/>
        </w:rPr>
        <w:t>2</w:t>
      </w:r>
      <w:r>
        <w:rPr>
          <w:rFonts w:hint="eastAsia" w:ascii="Times New Roman" w:hAnsi="Times New Roman" w:eastAsia="宋体" w:cs="Times New Roman"/>
          <w:sz w:val="24"/>
          <w:szCs w:val="24"/>
        </w:rPr>
        <w:t>CO</w:t>
      </w:r>
      <w:r>
        <w:rPr>
          <w:rFonts w:hint="eastAsia" w:ascii="Times New Roman" w:hAnsi="Times New Roman" w:eastAsia="宋体" w:cs="Times New Roman"/>
          <w:sz w:val="24"/>
          <w:szCs w:val="24"/>
          <w:vertAlign w:val="subscript"/>
        </w:rPr>
        <w:t>3</w:t>
      </w:r>
      <w:r>
        <w:rPr>
          <w:rFonts w:hint="eastAsia" w:ascii="Times New Roman" w:hAnsi="Times New Roman" w:eastAsia="宋体" w:cs="Times New Roman"/>
          <w:sz w:val="24"/>
          <w:szCs w:val="24"/>
        </w:rPr>
        <w:t>→Na</w:t>
      </w:r>
      <w:r>
        <w:rPr>
          <w:rFonts w:hint="eastAsia" w:ascii="Times New Roman" w:hAnsi="Times New Roman" w:eastAsia="宋体" w:cs="Times New Roman"/>
          <w:sz w:val="24"/>
          <w:szCs w:val="24"/>
          <w:vertAlign w:val="subscript"/>
        </w:rPr>
        <w:t>2</w:t>
      </w:r>
      <w:r>
        <w:rPr>
          <w:rFonts w:hint="eastAsia" w:ascii="Times New Roman" w:hAnsi="Times New Roman" w:eastAsia="宋体" w:cs="Times New Roman"/>
          <w:sz w:val="24"/>
          <w:szCs w:val="24"/>
        </w:rPr>
        <w:t>O+CO</w:t>
      </w:r>
      <w:r>
        <w:rPr>
          <w:rFonts w:hint="eastAsia" w:ascii="Times New Roman" w:hAnsi="Times New Roman" w:eastAsia="宋体" w:cs="Times New Roman"/>
          <w:sz w:val="24"/>
          <w:szCs w:val="24"/>
          <w:vertAlign w:val="subscript"/>
        </w:rPr>
        <w:t>2</w:t>
      </w:r>
      <w:r>
        <w:rPr>
          <w:rFonts w:hint="eastAsia" w:ascii="Times New Roman" w:hAnsi="Times New Roman" w:eastAsia="宋体" w:cs="Times New Roman"/>
          <w:sz w:val="24"/>
          <w:szCs w:val="24"/>
        </w:rPr>
        <w:t>；CaCO</w:t>
      </w:r>
      <w:r>
        <w:rPr>
          <w:rFonts w:hint="eastAsia" w:ascii="Times New Roman" w:hAnsi="Times New Roman" w:eastAsia="宋体" w:cs="Times New Roman"/>
          <w:sz w:val="24"/>
          <w:szCs w:val="24"/>
          <w:vertAlign w:val="subscript"/>
        </w:rPr>
        <w:t>3</w:t>
      </w:r>
      <w:r>
        <w:rPr>
          <w:rFonts w:hint="eastAsia" w:ascii="Times New Roman" w:hAnsi="Times New Roman" w:eastAsia="宋体" w:cs="Times New Roman"/>
          <w:sz w:val="24"/>
          <w:szCs w:val="24"/>
        </w:rPr>
        <w:t>→CaO+CO</w:t>
      </w:r>
      <w:r>
        <w:rPr>
          <w:rFonts w:hint="eastAsia" w:ascii="Times New Roman" w:hAnsi="Times New Roman" w:eastAsia="宋体" w:cs="Times New Roman"/>
          <w:sz w:val="24"/>
          <w:szCs w:val="24"/>
          <w:vertAlign w:val="subscript"/>
        </w:rPr>
        <w:t>2</w:t>
      </w:r>
      <w:r>
        <w:rPr>
          <w:rFonts w:hint="eastAsia" w:ascii="Times New Roman" w:hAnsi="Times New Roman" w:eastAsia="宋体" w:cs="Times New Roman"/>
          <w:sz w:val="24"/>
          <w:szCs w:val="24"/>
        </w:rPr>
        <w:t>；</w:t>
      </w:r>
    </w:p>
    <w:p w14:paraId="4223ED7D">
      <w:pPr>
        <w:spacing w:line="360" w:lineRule="auto"/>
        <w:rPr>
          <w:rFonts w:ascii="Times New Roman" w:hAnsi="Times New Roman" w:cs="Times New Roman"/>
          <w:sz w:val="24"/>
          <w:szCs w:val="24"/>
        </w:rPr>
      </w:pPr>
      <w:r>
        <w:rPr>
          <w:rFonts w:ascii="Times New Roman" w:hAnsi="Times New Roman" w:eastAsia="宋体" w:cs="Times New Roman"/>
          <w:sz w:val="24"/>
          <w:szCs w:val="24"/>
        </w:rPr>
        <w:t>生产规模：</w:t>
      </w:r>
      <w:r>
        <w:rPr>
          <w:rFonts w:hint="eastAsia" w:ascii="Times New Roman" w:hAnsi="Times New Roman" w:eastAsia="宋体" w:cs="Times New Roman"/>
          <w:sz w:val="24"/>
          <w:szCs w:val="24"/>
        </w:rPr>
        <w:t>1t</w:t>
      </w:r>
    </w:p>
    <w:p w14:paraId="37B7E48B">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表</w:t>
      </w:r>
      <w:r>
        <w:rPr>
          <w:rFonts w:hint="eastAsia" w:ascii="Times New Roman" w:hAnsi="Times New Roman" w:eastAsia="宋体" w:cs="Times New Roman"/>
          <w:color w:val="000000"/>
          <w:sz w:val="22"/>
        </w:rPr>
        <w:t>2.3-1</w:t>
      </w:r>
      <w:r>
        <w:rPr>
          <w:rFonts w:ascii="Times New Roman" w:hAnsi="Times New Roman" w:eastAsia="宋体" w:cs="Times New Roman"/>
          <w:color w:val="000000"/>
          <w:sz w:val="22"/>
        </w:rPr>
        <w:t>过程清单数据表</w:t>
      </w:r>
    </w:p>
    <w:tbl>
      <w:tblPr>
        <w:tblStyle w:val="62"/>
        <w:tblW w:w="4998"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08"/>
        <w:gridCol w:w="1708"/>
        <w:gridCol w:w="1517"/>
        <w:gridCol w:w="847"/>
        <w:gridCol w:w="2039"/>
      </w:tblGrid>
      <w:tr w14:paraId="1FD2E6C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13" w:type="pct"/>
            <w:tcBorders>
              <w:top w:val="nil"/>
              <w:left w:val="single" w:color="000000" w:sz="4" w:space="0"/>
              <w:bottom w:val="single" w:color="000000" w:sz="4" w:space="0"/>
              <w:right w:val="nil"/>
              <w:insideV w:val="nil"/>
              <w:tl2br w:val="nil"/>
              <w:tr2bl w:val="nil"/>
            </w:tcBorders>
            <w:vAlign w:val="center"/>
          </w:tcPr>
          <w:p w14:paraId="1E47FFCC">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类型</w:t>
            </w:r>
          </w:p>
        </w:tc>
        <w:tc>
          <w:tcPr>
            <w:tcW w:w="1002" w:type="pct"/>
            <w:tcBorders>
              <w:top w:val="nil"/>
              <w:bottom w:val="single" w:color="000000" w:sz="4" w:space="0"/>
              <w:right w:val="nil"/>
              <w:insideV w:val="nil"/>
              <w:tl2br w:val="nil"/>
              <w:tr2bl w:val="nil"/>
            </w:tcBorders>
            <w:vAlign w:val="center"/>
          </w:tcPr>
          <w:p w14:paraId="46FE99EB">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清单名称</w:t>
            </w:r>
          </w:p>
        </w:tc>
        <w:tc>
          <w:tcPr>
            <w:tcW w:w="890" w:type="pct"/>
            <w:tcBorders>
              <w:top w:val="nil"/>
              <w:bottom w:val="single" w:color="000000" w:sz="4" w:space="0"/>
              <w:right w:val="nil"/>
              <w:insideV w:val="nil"/>
              <w:tl2br w:val="nil"/>
              <w:tr2bl w:val="nil"/>
            </w:tcBorders>
            <w:vAlign w:val="center"/>
          </w:tcPr>
          <w:p w14:paraId="08FE0FD4">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数量</w:t>
            </w:r>
          </w:p>
        </w:tc>
        <w:tc>
          <w:tcPr>
            <w:tcW w:w="497" w:type="pct"/>
            <w:tcBorders>
              <w:top w:val="nil"/>
              <w:bottom w:val="single" w:color="000000" w:sz="4" w:space="0"/>
              <w:right w:val="nil"/>
              <w:insideV w:val="nil"/>
              <w:tl2br w:val="nil"/>
              <w:tr2bl w:val="nil"/>
            </w:tcBorders>
            <w:vAlign w:val="center"/>
          </w:tcPr>
          <w:p w14:paraId="319459DB">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单位</w:t>
            </w:r>
          </w:p>
        </w:tc>
        <w:tc>
          <w:tcPr>
            <w:tcW w:w="1196" w:type="pct"/>
            <w:tcBorders>
              <w:top w:val="nil"/>
              <w:bottom w:val="single" w:color="000000" w:sz="4" w:space="0"/>
              <w:right w:val="nil"/>
              <w:insideV w:val="nil"/>
              <w:tl2br w:val="nil"/>
              <w:tr2bl w:val="nil"/>
            </w:tcBorders>
            <w:vAlign w:val="center"/>
          </w:tcPr>
          <w:p w14:paraId="31B36868">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上游数据来源</w:t>
            </w:r>
          </w:p>
        </w:tc>
      </w:tr>
      <w:tr w14:paraId="6C0114F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52EE6055">
            <w:pPr>
              <w:jc w:val="center"/>
              <w:rPr>
                <w:rFonts w:ascii="宋体" w:hAnsi="宋体" w:eastAsia="宋体" w:cs="Times New Roman"/>
                <w:b w:val="0"/>
                <w:bCs/>
                <w:color w:val="000000"/>
                <w:sz w:val="22"/>
              </w:rPr>
            </w:pPr>
            <w:r>
              <w:rPr>
                <w:rFonts w:ascii="宋体" w:hAnsi="宋体" w:eastAsia="宋体" w:cs="Times New Roman"/>
                <w:b/>
                <w:bCs/>
                <w:color w:val="000000"/>
                <w:sz w:val="22"/>
              </w:rPr>
              <w:t>产品产出</w:t>
            </w:r>
          </w:p>
        </w:tc>
        <w:tc>
          <w:tcPr>
            <w:tcW w:w="1002" w:type="pct"/>
            <w:vAlign w:val="center"/>
          </w:tcPr>
          <w:p w14:paraId="606103F3">
            <w:pPr>
              <w:jc w:val="center"/>
              <w:rPr>
                <w:rFonts w:ascii="宋体" w:hAnsi="宋体" w:eastAsia="宋体" w:cs="Times New Roman"/>
                <w:color w:val="000000"/>
                <w:sz w:val="22"/>
              </w:rPr>
            </w:pPr>
            <w:r>
              <w:rPr>
                <w:rFonts w:ascii="宋体" w:hAnsi="宋体" w:eastAsia="宋体" w:cs="Times New Roman"/>
                <w:color w:val="000000"/>
                <w:sz w:val="22"/>
              </w:rPr>
              <w:t>玻璃液</w:t>
            </w:r>
          </w:p>
        </w:tc>
        <w:tc>
          <w:tcPr>
            <w:tcW w:w="890" w:type="pct"/>
            <w:vAlign w:val="center"/>
          </w:tcPr>
          <w:p w14:paraId="7A4CBF0A">
            <w:pPr>
              <w:jc w:val="center"/>
              <w:rPr>
                <w:rFonts w:ascii="宋体" w:hAnsi="宋体" w:eastAsia="宋体" w:cs="Times New Roman"/>
                <w:color w:val="000000"/>
                <w:sz w:val="22"/>
              </w:rPr>
            </w:pPr>
            <w:r>
              <w:rPr>
                <w:rFonts w:ascii="宋体" w:hAnsi="宋体" w:eastAsia="宋体" w:cs="Times New Roman"/>
                <w:color w:val="000000"/>
                <w:sz w:val="22"/>
              </w:rPr>
              <w:t>1</w:t>
            </w:r>
          </w:p>
        </w:tc>
        <w:tc>
          <w:tcPr>
            <w:tcW w:w="497" w:type="pct"/>
            <w:vAlign w:val="center"/>
          </w:tcPr>
          <w:p w14:paraId="5B65F712">
            <w:pPr>
              <w:jc w:val="center"/>
              <w:rPr>
                <w:rFonts w:ascii="宋体" w:hAnsi="宋体" w:eastAsia="宋体" w:cs="Times New Roman"/>
                <w:color w:val="000000"/>
                <w:sz w:val="22"/>
              </w:rPr>
            </w:pPr>
            <w:r>
              <w:rPr>
                <w:rFonts w:ascii="宋体" w:hAnsi="宋体" w:eastAsia="宋体" w:cs="Times New Roman"/>
                <w:color w:val="000000"/>
                <w:sz w:val="22"/>
              </w:rPr>
              <w:t>t</w:t>
            </w:r>
          </w:p>
        </w:tc>
        <w:tc>
          <w:tcPr>
            <w:tcW w:w="1196" w:type="pct"/>
            <w:vAlign w:val="center"/>
          </w:tcPr>
          <w:p w14:paraId="22A410C6">
            <w:pPr>
              <w:jc w:val="center"/>
              <w:rPr>
                <w:rFonts w:ascii="宋体" w:hAnsi="宋体" w:eastAsia="宋体" w:cs="Times New Roman"/>
                <w:color w:val="000000"/>
                <w:sz w:val="22"/>
              </w:rPr>
            </w:pPr>
            <w:r>
              <w:rPr>
                <w:rFonts w:ascii="宋体" w:hAnsi="宋体" w:eastAsia="宋体" w:cs="Times New Roman"/>
                <w:color w:val="000000"/>
                <w:sz w:val="22"/>
              </w:rPr>
              <w:t>--</w:t>
            </w:r>
          </w:p>
        </w:tc>
      </w:tr>
      <w:tr w14:paraId="53AD52A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44E75F5A">
            <w:pPr>
              <w:jc w:val="center"/>
              <w:rPr>
                <w:rFonts w:ascii="宋体" w:hAnsi="宋体" w:eastAsia="宋体" w:cs="Times New Roman"/>
                <w:b w:val="0"/>
                <w:bCs/>
                <w:color w:val="000000"/>
                <w:sz w:val="22"/>
              </w:rPr>
            </w:pPr>
            <w:r>
              <w:rPr>
                <w:rFonts w:ascii="宋体" w:hAnsi="宋体" w:eastAsia="宋体" w:cs="Times New Roman"/>
                <w:b/>
                <w:bCs/>
                <w:color w:val="000000"/>
                <w:sz w:val="22"/>
              </w:rPr>
              <w:t>原材料/物料</w:t>
            </w:r>
          </w:p>
        </w:tc>
        <w:tc>
          <w:tcPr>
            <w:tcW w:w="1002" w:type="pct"/>
            <w:vAlign w:val="center"/>
          </w:tcPr>
          <w:p w14:paraId="2D470C03">
            <w:pPr>
              <w:jc w:val="center"/>
              <w:rPr>
                <w:rFonts w:ascii="宋体" w:hAnsi="宋体" w:eastAsia="宋体" w:cs="Times New Roman"/>
                <w:color w:val="000000"/>
                <w:sz w:val="22"/>
              </w:rPr>
            </w:pPr>
            <w:r>
              <w:rPr>
                <w:rFonts w:ascii="宋体" w:hAnsi="宋体" w:eastAsia="宋体" w:cs="Times New Roman"/>
                <w:color w:val="000000"/>
                <w:sz w:val="22"/>
              </w:rPr>
              <w:t>煤矸石</w:t>
            </w:r>
          </w:p>
        </w:tc>
        <w:tc>
          <w:tcPr>
            <w:tcW w:w="890" w:type="pct"/>
            <w:vAlign w:val="center"/>
          </w:tcPr>
          <w:p w14:paraId="246349F2">
            <w:pPr>
              <w:jc w:val="center"/>
              <w:rPr>
                <w:rFonts w:ascii="宋体" w:hAnsi="宋体" w:eastAsia="宋体" w:cs="Times New Roman"/>
                <w:color w:val="000000"/>
                <w:sz w:val="22"/>
              </w:rPr>
            </w:pPr>
            <w:r>
              <w:rPr>
                <w:rFonts w:ascii="宋体" w:hAnsi="宋体" w:eastAsia="宋体" w:cs="Times New Roman"/>
                <w:color w:val="000000"/>
                <w:sz w:val="22"/>
              </w:rPr>
              <w:t>0.5</w:t>
            </w:r>
          </w:p>
        </w:tc>
        <w:tc>
          <w:tcPr>
            <w:tcW w:w="497" w:type="pct"/>
            <w:vAlign w:val="center"/>
          </w:tcPr>
          <w:p w14:paraId="03E7DD57">
            <w:pPr>
              <w:jc w:val="center"/>
              <w:rPr>
                <w:rFonts w:ascii="宋体" w:hAnsi="宋体" w:eastAsia="宋体" w:cs="Times New Roman"/>
                <w:color w:val="000000"/>
                <w:sz w:val="22"/>
              </w:rPr>
            </w:pPr>
            <w:r>
              <w:rPr>
                <w:rFonts w:ascii="宋体" w:hAnsi="宋体" w:eastAsia="宋体" w:cs="Times New Roman"/>
                <w:color w:val="000000"/>
                <w:sz w:val="22"/>
              </w:rPr>
              <w:t>t</w:t>
            </w:r>
          </w:p>
        </w:tc>
        <w:tc>
          <w:tcPr>
            <w:tcW w:w="1196" w:type="pct"/>
            <w:vAlign w:val="center"/>
          </w:tcPr>
          <w:p w14:paraId="36FE675F">
            <w:pPr>
              <w:jc w:val="center"/>
              <w:rPr>
                <w:rFonts w:ascii="宋体" w:hAnsi="宋体" w:eastAsia="宋体" w:cs="Times New Roman"/>
                <w:color w:val="000000"/>
                <w:sz w:val="22"/>
              </w:rPr>
            </w:pPr>
            <w:r>
              <w:rPr>
                <w:rFonts w:ascii="宋体" w:hAnsi="宋体" w:eastAsia="宋体" w:cs="Times New Roman"/>
                <w:color w:val="000000"/>
                <w:sz w:val="22"/>
              </w:rPr>
              <w:t>可忽略：环境影响为“0”的物料</w:t>
            </w:r>
          </w:p>
        </w:tc>
      </w:tr>
      <w:tr w14:paraId="3D7B9B6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59585F5D">
            <w:pPr>
              <w:jc w:val="center"/>
              <w:rPr>
                <w:rFonts w:ascii="宋体" w:hAnsi="宋体" w:eastAsia="宋体" w:cs="Times New Roman"/>
                <w:b w:val="0"/>
                <w:bCs/>
                <w:color w:val="000000"/>
                <w:sz w:val="22"/>
              </w:rPr>
            </w:pPr>
            <w:r>
              <w:rPr>
                <w:rFonts w:ascii="宋体" w:hAnsi="宋体" w:eastAsia="宋体" w:cs="Times New Roman"/>
                <w:b/>
                <w:bCs/>
                <w:color w:val="000000"/>
                <w:sz w:val="22"/>
              </w:rPr>
              <w:t>原材料/物料</w:t>
            </w:r>
          </w:p>
        </w:tc>
        <w:tc>
          <w:tcPr>
            <w:tcW w:w="1002" w:type="pct"/>
            <w:vAlign w:val="center"/>
          </w:tcPr>
          <w:p w14:paraId="4E4D5397">
            <w:pPr>
              <w:jc w:val="center"/>
              <w:rPr>
                <w:rFonts w:ascii="宋体" w:hAnsi="宋体" w:eastAsia="宋体" w:cs="Times New Roman"/>
                <w:color w:val="000000"/>
                <w:sz w:val="22"/>
              </w:rPr>
            </w:pPr>
            <w:r>
              <w:rPr>
                <w:rFonts w:ascii="宋体" w:hAnsi="宋体" w:eastAsia="宋体" w:cs="Times New Roman"/>
                <w:color w:val="000000"/>
                <w:sz w:val="22"/>
              </w:rPr>
              <w:t>石英砂</w:t>
            </w:r>
          </w:p>
        </w:tc>
        <w:tc>
          <w:tcPr>
            <w:tcW w:w="890" w:type="pct"/>
            <w:vAlign w:val="center"/>
          </w:tcPr>
          <w:p w14:paraId="01E707A8">
            <w:pPr>
              <w:jc w:val="center"/>
              <w:rPr>
                <w:rFonts w:ascii="宋体" w:hAnsi="宋体" w:eastAsia="宋体" w:cs="Times New Roman"/>
                <w:color w:val="000000"/>
                <w:sz w:val="22"/>
              </w:rPr>
            </w:pPr>
            <w:r>
              <w:rPr>
                <w:rFonts w:ascii="宋体" w:hAnsi="宋体" w:eastAsia="宋体" w:cs="Times New Roman"/>
                <w:color w:val="000000"/>
                <w:sz w:val="22"/>
              </w:rPr>
              <w:t>0.25</w:t>
            </w:r>
          </w:p>
        </w:tc>
        <w:tc>
          <w:tcPr>
            <w:tcW w:w="497" w:type="pct"/>
            <w:vAlign w:val="center"/>
          </w:tcPr>
          <w:p w14:paraId="7708554A">
            <w:pPr>
              <w:jc w:val="center"/>
              <w:rPr>
                <w:rFonts w:ascii="宋体" w:hAnsi="宋体" w:eastAsia="宋体" w:cs="Times New Roman"/>
                <w:color w:val="000000"/>
                <w:sz w:val="22"/>
              </w:rPr>
            </w:pPr>
            <w:r>
              <w:rPr>
                <w:rFonts w:ascii="宋体" w:hAnsi="宋体" w:eastAsia="宋体" w:cs="Times New Roman"/>
                <w:color w:val="000000"/>
                <w:sz w:val="22"/>
              </w:rPr>
              <w:t>t</w:t>
            </w:r>
          </w:p>
        </w:tc>
        <w:tc>
          <w:tcPr>
            <w:tcW w:w="1196" w:type="pct"/>
            <w:vAlign w:val="center"/>
          </w:tcPr>
          <w:p w14:paraId="7D71077A">
            <w:pPr>
              <w:jc w:val="center"/>
              <w:rPr>
                <w:rFonts w:ascii="宋体" w:hAnsi="宋体" w:eastAsia="宋体" w:cs="Times New Roman"/>
                <w:color w:val="000000"/>
                <w:sz w:val="22"/>
              </w:rPr>
            </w:pPr>
            <w:r>
              <w:rPr>
                <w:rFonts w:ascii="宋体" w:hAnsi="宋体" w:eastAsia="宋体" w:cs="Times New Roman"/>
                <w:color w:val="000000"/>
                <w:sz w:val="22"/>
              </w:rPr>
              <w:t>CLCD-China-ECER 0.8</w:t>
            </w:r>
          </w:p>
        </w:tc>
      </w:tr>
      <w:tr w14:paraId="0CAB062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5797AA65">
            <w:pPr>
              <w:jc w:val="center"/>
              <w:rPr>
                <w:rFonts w:ascii="宋体" w:hAnsi="宋体" w:eastAsia="宋体" w:cs="Times New Roman"/>
                <w:b w:val="0"/>
                <w:bCs/>
                <w:color w:val="000000"/>
                <w:sz w:val="22"/>
              </w:rPr>
            </w:pPr>
            <w:r>
              <w:rPr>
                <w:rFonts w:ascii="宋体" w:hAnsi="宋体" w:eastAsia="宋体" w:cs="Times New Roman"/>
                <w:b/>
                <w:bCs/>
                <w:color w:val="000000"/>
                <w:sz w:val="22"/>
              </w:rPr>
              <w:t>原材料/物料</w:t>
            </w:r>
          </w:p>
        </w:tc>
        <w:tc>
          <w:tcPr>
            <w:tcW w:w="1002" w:type="pct"/>
            <w:vAlign w:val="center"/>
          </w:tcPr>
          <w:p w14:paraId="37675958">
            <w:pPr>
              <w:jc w:val="center"/>
              <w:rPr>
                <w:rFonts w:ascii="宋体" w:hAnsi="宋体" w:eastAsia="宋体" w:cs="Times New Roman"/>
                <w:color w:val="000000"/>
                <w:sz w:val="22"/>
              </w:rPr>
            </w:pPr>
            <w:r>
              <w:rPr>
                <w:rFonts w:ascii="宋体" w:hAnsi="宋体" w:eastAsia="宋体" w:cs="Times New Roman"/>
                <w:color w:val="000000"/>
                <w:sz w:val="22"/>
              </w:rPr>
              <w:t>氟硅酸钠</w:t>
            </w:r>
          </w:p>
        </w:tc>
        <w:tc>
          <w:tcPr>
            <w:tcW w:w="890" w:type="pct"/>
            <w:vAlign w:val="center"/>
          </w:tcPr>
          <w:p w14:paraId="0895A71E">
            <w:pPr>
              <w:jc w:val="center"/>
              <w:rPr>
                <w:rFonts w:ascii="宋体" w:hAnsi="宋体" w:eastAsia="宋体" w:cs="Times New Roman"/>
                <w:color w:val="000000"/>
                <w:sz w:val="22"/>
              </w:rPr>
            </w:pPr>
            <w:r>
              <w:rPr>
                <w:rFonts w:ascii="宋体" w:hAnsi="宋体" w:eastAsia="宋体" w:cs="Times New Roman"/>
                <w:color w:val="000000"/>
                <w:sz w:val="22"/>
              </w:rPr>
              <w:t>0.02</w:t>
            </w:r>
          </w:p>
        </w:tc>
        <w:tc>
          <w:tcPr>
            <w:tcW w:w="497" w:type="pct"/>
            <w:vAlign w:val="center"/>
          </w:tcPr>
          <w:p w14:paraId="0306A553">
            <w:pPr>
              <w:jc w:val="center"/>
              <w:rPr>
                <w:rFonts w:ascii="宋体" w:hAnsi="宋体" w:eastAsia="宋体" w:cs="Times New Roman"/>
                <w:color w:val="000000"/>
                <w:sz w:val="22"/>
              </w:rPr>
            </w:pPr>
            <w:r>
              <w:rPr>
                <w:rFonts w:ascii="宋体" w:hAnsi="宋体" w:eastAsia="宋体" w:cs="Times New Roman"/>
                <w:color w:val="000000"/>
                <w:sz w:val="22"/>
              </w:rPr>
              <w:t>t</w:t>
            </w:r>
          </w:p>
        </w:tc>
        <w:tc>
          <w:tcPr>
            <w:tcW w:w="1196" w:type="pct"/>
            <w:vAlign w:val="center"/>
          </w:tcPr>
          <w:p w14:paraId="39BACF73">
            <w:pPr>
              <w:jc w:val="center"/>
              <w:rPr>
                <w:rFonts w:ascii="宋体" w:hAnsi="宋体" w:eastAsia="宋体" w:cs="Times New Roman"/>
                <w:color w:val="000000"/>
                <w:sz w:val="22"/>
              </w:rPr>
            </w:pPr>
            <w:r>
              <w:rPr>
                <w:rFonts w:ascii="宋体" w:hAnsi="宋体" w:eastAsia="宋体" w:cs="Times New Roman"/>
                <w:color w:val="000000"/>
                <w:sz w:val="22"/>
              </w:rPr>
              <w:t>CLCD-China-ECER 0.8</w:t>
            </w:r>
          </w:p>
        </w:tc>
      </w:tr>
      <w:tr w14:paraId="1B6ADF1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565F395C">
            <w:pPr>
              <w:jc w:val="center"/>
              <w:rPr>
                <w:rFonts w:ascii="宋体" w:hAnsi="宋体" w:eastAsia="宋体" w:cs="Times New Roman"/>
                <w:b w:val="0"/>
                <w:bCs/>
                <w:color w:val="000000"/>
                <w:sz w:val="22"/>
              </w:rPr>
            </w:pPr>
            <w:r>
              <w:rPr>
                <w:rFonts w:ascii="宋体" w:hAnsi="宋体" w:eastAsia="宋体" w:cs="Times New Roman"/>
                <w:b/>
                <w:bCs/>
                <w:color w:val="000000"/>
                <w:sz w:val="22"/>
              </w:rPr>
              <w:t>原材料/物料</w:t>
            </w:r>
          </w:p>
        </w:tc>
        <w:tc>
          <w:tcPr>
            <w:tcW w:w="1002" w:type="pct"/>
            <w:vAlign w:val="center"/>
          </w:tcPr>
          <w:p w14:paraId="7977DFCA">
            <w:pPr>
              <w:jc w:val="center"/>
              <w:rPr>
                <w:rFonts w:ascii="宋体" w:hAnsi="宋体" w:eastAsia="宋体" w:cs="Times New Roman"/>
                <w:color w:val="000000"/>
                <w:sz w:val="22"/>
              </w:rPr>
            </w:pPr>
            <w:r>
              <w:rPr>
                <w:rFonts w:ascii="宋体" w:hAnsi="宋体" w:eastAsia="宋体" w:cs="Times New Roman"/>
                <w:color w:val="000000"/>
                <w:sz w:val="22"/>
              </w:rPr>
              <w:t>纯碱</w:t>
            </w:r>
          </w:p>
        </w:tc>
        <w:tc>
          <w:tcPr>
            <w:tcW w:w="890" w:type="pct"/>
            <w:vAlign w:val="center"/>
          </w:tcPr>
          <w:p w14:paraId="6FF7CE72">
            <w:pPr>
              <w:jc w:val="center"/>
              <w:rPr>
                <w:rFonts w:ascii="宋体" w:hAnsi="宋体" w:eastAsia="宋体" w:cs="Times New Roman"/>
                <w:color w:val="000000"/>
                <w:sz w:val="22"/>
              </w:rPr>
            </w:pPr>
            <w:r>
              <w:rPr>
                <w:rFonts w:ascii="宋体" w:hAnsi="宋体" w:eastAsia="宋体" w:cs="Times New Roman"/>
                <w:color w:val="000000"/>
                <w:sz w:val="22"/>
              </w:rPr>
              <w:t>0.1</w:t>
            </w:r>
          </w:p>
        </w:tc>
        <w:tc>
          <w:tcPr>
            <w:tcW w:w="497" w:type="pct"/>
            <w:vAlign w:val="center"/>
          </w:tcPr>
          <w:p w14:paraId="3664396F">
            <w:pPr>
              <w:jc w:val="center"/>
              <w:rPr>
                <w:rFonts w:ascii="宋体" w:hAnsi="宋体" w:eastAsia="宋体" w:cs="Times New Roman"/>
                <w:color w:val="000000"/>
                <w:sz w:val="22"/>
              </w:rPr>
            </w:pPr>
            <w:r>
              <w:rPr>
                <w:rFonts w:ascii="宋体" w:hAnsi="宋体" w:eastAsia="宋体" w:cs="Times New Roman"/>
                <w:color w:val="000000"/>
                <w:sz w:val="22"/>
              </w:rPr>
              <w:t>t</w:t>
            </w:r>
          </w:p>
        </w:tc>
        <w:tc>
          <w:tcPr>
            <w:tcW w:w="1196" w:type="pct"/>
            <w:vAlign w:val="center"/>
          </w:tcPr>
          <w:p w14:paraId="3A08A8D6">
            <w:pPr>
              <w:jc w:val="center"/>
              <w:rPr>
                <w:rFonts w:ascii="宋体" w:hAnsi="宋体" w:eastAsia="宋体" w:cs="Times New Roman"/>
                <w:color w:val="000000"/>
                <w:sz w:val="22"/>
              </w:rPr>
            </w:pPr>
            <w:r>
              <w:rPr>
                <w:rFonts w:ascii="宋体" w:hAnsi="宋体" w:eastAsia="宋体" w:cs="Times New Roman"/>
                <w:color w:val="000000"/>
                <w:sz w:val="22"/>
              </w:rPr>
              <w:t>CLCD-China-ECER 0.8</w:t>
            </w:r>
          </w:p>
        </w:tc>
      </w:tr>
      <w:tr w14:paraId="19D561B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6B7B4349">
            <w:pPr>
              <w:jc w:val="center"/>
              <w:rPr>
                <w:rFonts w:ascii="宋体" w:hAnsi="宋体" w:eastAsia="宋体" w:cs="Times New Roman"/>
                <w:b w:val="0"/>
                <w:bCs/>
                <w:color w:val="000000"/>
                <w:sz w:val="22"/>
              </w:rPr>
            </w:pPr>
            <w:r>
              <w:rPr>
                <w:rFonts w:ascii="宋体" w:hAnsi="宋体" w:eastAsia="宋体" w:cs="Times New Roman"/>
                <w:b/>
                <w:bCs/>
                <w:color w:val="000000"/>
                <w:sz w:val="22"/>
              </w:rPr>
              <w:t>原材料/物料</w:t>
            </w:r>
          </w:p>
        </w:tc>
        <w:tc>
          <w:tcPr>
            <w:tcW w:w="1002" w:type="pct"/>
            <w:vAlign w:val="center"/>
          </w:tcPr>
          <w:p w14:paraId="2FA1EF99">
            <w:pPr>
              <w:jc w:val="center"/>
              <w:rPr>
                <w:rFonts w:ascii="宋体" w:hAnsi="宋体" w:eastAsia="宋体" w:cs="Times New Roman"/>
                <w:color w:val="000000"/>
                <w:sz w:val="22"/>
              </w:rPr>
            </w:pPr>
            <w:r>
              <w:rPr>
                <w:rFonts w:ascii="宋体" w:hAnsi="宋体" w:eastAsia="宋体" w:cs="Times New Roman"/>
                <w:color w:val="000000"/>
                <w:sz w:val="22"/>
              </w:rPr>
              <w:t>碳酸钙</w:t>
            </w:r>
          </w:p>
        </w:tc>
        <w:tc>
          <w:tcPr>
            <w:tcW w:w="890" w:type="pct"/>
            <w:vAlign w:val="center"/>
          </w:tcPr>
          <w:p w14:paraId="7E79A6E9">
            <w:pPr>
              <w:jc w:val="center"/>
              <w:rPr>
                <w:rFonts w:ascii="宋体" w:hAnsi="宋体" w:eastAsia="宋体" w:cs="Times New Roman"/>
                <w:color w:val="000000"/>
                <w:sz w:val="22"/>
              </w:rPr>
            </w:pPr>
            <w:r>
              <w:rPr>
                <w:rFonts w:ascii="宋体" w:hAnsi="宋体" w:eastAsia="宋体" w:cs="Times New Roman"/>
                <w:color w:val="000000"/>
                <w:sz w:val="22"/>
              </w:rPr>
              <w:t>0.25</w:t>
            </w:r>
          </w:p>
        </w:tc>
        <w:tc>
          <w:tcPr>
            <w:tcW w:w="497" w:type="pct"/>
            <w:vAlign w:val="center"/>
          </w:tcPr>
          <w:p w14:paraId="3FFEB77F">
            <w:pPr>
              <w:jc w:val="center"/>
              <w:rPr>
                <w:rFonts w:ascii="宋体" w:hAnsi="宋体" w:eastAsia="宋体" w:cs="Times New Roman"/>
                <w:color w:val="000000"/>
                <w:sz w:val="22"/>
              </w:rPr>
            </w:pPr>
            <w:r>
              <w:rPr>
                <w:rFonts w:ascii="宋体" w:hAnsi="宋体" w:eastAsia="宋体" w:cs="Times New Roman"/>
                <w:color w:val="000000"/>
                <w:sz w:val="22"/>
              </w:rPr>
              <w:t>t</w:t>
            </w:r>
          </w:p>
        </w:tc>
        <w:tc>
          <w:tcPr>
            <w:tcW w:w="1196" w:type="pct"/>
            <w:vAlign w:val="center"/>
          </w:tcPr>
          <w:p w14:paraId="6086779F">
            <w:pPr>
              <w:jc w:val="center"/>
              <w:rPr>
                <w:rFonts w:ascii="宋体" w:hAnsi="宋体" w:eastAsia="宋体" w:cs="Times New Roman"/>
                <w:color w:val="000000"/>
                <w:sz w:val="22"/>
              </w:rPr>
            </w:pPr>
            <w:r>
              <w:rPr>
                <w:rFonts w:ascii="宋体" w:hAnsi="宋体" w:eastAsia="宋体" w:cs="Times New Roman"/>
                <w:color w:val="000000"/>
                <w:sz w:val="22"/>
              </w:rPr>
              <w:t>CLCD-China-ECER 0.8</w:t>
            </w:r>
          </w:p>
        </w:tc>
      </w:tr>
      <w:tr w14:paraId="4AB15CC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372737F8">
            <w:pPr>
              <w:jc w:val="center"/>
              <w:rPr>
                <w:rFonts w:ascii="宋体" w:hAnsi="宋体" w:eastAsia="宋体" w:cs="Times New Roman"/>
                <w:b w:val="0"/>
                <w:bCs/>
                <w:color w:val="000000"/>
                <w:sz w:val="22"/>
              </w:rPr>
            </w:pPr>
            <w:r>
              <w:rPr>
                <w:rFonts w:ascii="宋体" w:hAnsi="宋体" w:eastAsia="宋体" w:cs="Times New Roman"/>
                <w:b/>
                <w:bCs/>
                <w:color w:val="000000"/>
                <w:sz w:val="22"/>
              </w:rPr>
              <w:t>能耗</w:t>
            </w:r>
          </w:p>
        </w:tc>
        <w:tc>
          <w:tcPr>
            <w:tcW w:w="1002" w:type="pct"/>
            <w:vAlign w:val="center"/>
          </w:tcPr>
          <w:p w14:paraId="6F29F3DF">
            <w:pPr>
              <w:jc w:val="center"/>
              <w:rPr>
                <w:rFonts w:ascii="宋体" w:hAnsi="宋体" w:eastAsia="宋体" w:cs="Times New Roman"/>
                <w:color w:val="000000"/>
                <w:sz w:val="22"/>
              </w:rPr>
            </w:pPr>
            <w:r>
              <w:rPr>
                <w:rFonts w:ascii="宋体" w:hAnsi="宋体" w:eastAsia="宋体" w:cs="Times New Roman"/>
                <w:color w:val="000000"/>
                <w:sz w:val="22"/>
              </w:rPr>
              <w:t>电力（全国平均）</w:t>
            </w:r>
          </w:p>
        </w:tc>
        <w:tc>
          <w:tcPr>
            <w:tcW w:w="890" w:type="pct"/>
            <w:vAlign w:val="center"/>
          </w:tcPr>
          <w:p w14:paraId="4F1B0383">
            <w:pPr>
              <w:jc w:val="center"/>
              <w:rPr>
                <w:rFonts w:ascii="宋体" w:hAnsi="宋体" w:eastAsia="宋体" w:cs="Times New Roman"/>
                <w:color w:val="000000"/>
                <w:sz w:val="22"/>
              </w:rPr>
            </w:pPr>
            <w:r>
              <w:rPr>
                <w:rFonts w:ascii="宋体" w:hAnsi="宋体" w:eastAsia="宋体" w:cs="Times New Roman"/>
                <w:color w:val="000000"/>
                <w:sz w:val="22"/>
              </w:rPr>
              <w:t>1,074.78</w:t>
            </w:r>
          </w:p>
        </w:tc>
        <w:tc>
          <w:tcPr>
            <w:tcW w:w="497" w:type="pct"/>
            <w:vAlign w:val="center"/>
          </w:tcPr>
          <w:p w14:paraId="7289C659">
            <w:pPr>
              <w:jc w:val="center"/>
              <w:rPr>
                <w:rFonts w:ascii="宋体" w:hAnsi="宋体" w:eastAsia="宋体" w:cs="Times New Roman"/>
                <w:color w:val="000000"/>
                <w:sz w:val="22"/>
              </w:rPr>
            </w:pPr>
            <w:r>
              <w:rPr>
                <w:rFonts w:ascii="宋体" w:hAnsi="宋体" w:eastAsia="宋体" w:cs="Times New Roman"/>
                <w:color w:val="000000"/>
                <w:sz w:val="22"/>
              </w:rPr>
              <w:t>kWh</w:t>
            </w:r>
          </w:p>
        </w:tc>
        <w:tc>
          <w:tcPr>
            <w:tcW w:w="1196" w:type="pct"/>
            <w:vAlign w:val="center"/>
          </w:tcPr>
          <w:p w14:paraId="3CD53B33">
            <w:pPr>
              <w:jc w:val="center"/>
              <w:rPr>
                <w:rFonts w:ascii="宋体" w:hAnsi="宋体" w:eastAsia="宋体" w:cs="Times New Roman"/>
                <w:color w:val="000000"/>
                <w:sz w:val="22"/>
              </w:rPr>
            </w:pPr>
            <w:r>
              <w:rPr>
                <w:rFonts w:ascii="宋体" w:hAnsi="宋体" w:eastAsia="宋体" w:cs="Times New Roman"/>
                <w:color w:val="000000"/>
                <w:sz w:val="22"/>
              </w:rPr>
              <w:t>CLCD-2023  0.9.6</w:t>
            </w:r>
          </w:p>
        </w:tc>
      </w:tr>
      <w:tr w14:paraId="0A7D1BF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24EBF5FC">
            <w:pPr>
              <w:jc w:val="center"/>
              <w:rPr>
                <w:rFonts w:ascii="宋体" w:hAnsi="宋体" w:eastAsia="宋体" w:cs="Times New Roman"/>
                <w:b w:val="0"/>
                <w:bCs/>
                <w:color w:val="000000"/>
                <w:sz w:val="22"/>
              </w:rPr>
            </w:pPr>
            <w:r>
              <w:rPr>
                <w:rFonts w:ascii="宋体" w:hAnsi="宋体" w:eastAsia="宋体" w:cs="Times New Roman"/>
                <w:b/>
                <w:bCs/>
                <w:color w:val="000000"/>
                <w:sz w:val="22"/>
              </w:rPr>
              <w:t>能耗</w:t>
            </w:r>
          </w:p>
        </w:tc>
        <w:tc>
          <w:tcPr>
            <w:tcW w:w="1002" w:type="pct"/>
            <w:vAlign w:val="center"/>
          </w:tcPr>
          <w:p w14:paraId="4F8704E3">
            <w:pPr>
              <w:jc w:val="center"/>
              <w:rPr>
                <w:rFonts w:ascii="宋体" w:hAnsi="宋体" w:eastAsia="宋体" w:cs="Times New Roman"/>
                <w:color w:val="000000"/>
                <w:sz w:val="22"/>
              </w:rPr>
            </w:pPr>
            <w:r>
              <w:rPr>
                <w:rFonts w:ascii="宋体" w:hAnsi="宋体" w:eastAsia="宋体" w:cs="Times New Roman"/>
                <w:color w:val="000000"/>
                <w:sz w:val="22"/>
              </w:rPr>
              <w:t>柴油</w:t>
            </w:r>
          </w:p>
        </w:tc>
        <w:tc>
          <w:tcPr>
            <w:tcW w:w="890" w:type="pct"/>
            <w:vAlign w:val="center"/>
          </w:tcPr>
          <w:p w14:paraId="228D7F82">
            <w:pPr>
              <w:jc w:val="center"/>
              <w:rPr>
                <w:rFonts w:ascii="宋体" w:hAnsi="宋体" w:eastAsia="宋体" w:cs="Times New Roman"/>
                <w:color w:val="000000"/>
                <w:sz w:val="22"/>
              </w:rPr>
            </w:pPr>
            <w:r>
              <w:rPr>
                <w:rFonts w:ascii="宋体" w:hAnsi="宋体" w:eastAsia="宋体" w:cs="Times New Roman"/>
                <w:color w:val="000000"/>
                <w:sz w:val="22"/>
              </w:rPr>
              <w:t>2.34</w:t>
            </w:r>
          </w:p>
        </w:tc>
        <w:tc>
          <w:tcPr>
            <w:tcW w:w="497" w:type="pct"/>
            <w:vAlign w:val="center"/>
          </w:tcPr>
          <w:p w14:paraId="25DDC94C">
            <w:pPr>
              <w:jc w:val="center"/>
              <w:rPr>
                <w:rFonts w:ascii="宋体" w:hAnsi="宋体" w:eastAsia="宋体" w:cs="Times New Roman"/>
                <w:color w:val="000000"/>
                <w:sz w:val="22"/>
              </w:rPr>
            </w:pPr>
            <w:r>
              <w:rPr>
                <w:rFonts w:ascii="宋体" w:hAnsi="宋体" w:eastAsia="宋体" w:cs="Times New Roman"/>
                <w:color w:val="000000"/>
                <w:sz w:val="22"/>
              </w:rPr>
              <w:t>kg</w:t>
            </w:r>
          </w:p>
        </w:tc>
        <w:tc>
          <w:tcPr>
            <w:tcW w:w="1196" w:type="pct"/>
            <w:vAlign w:val="center"/>
          </w:tcPr>
          <w:p w14:paraId="7399C346">
            <w:pPr>
              <w:jc w:val="center"/>
              <w:rPr>
                <w:rFonts w:ascii="宋体" w:hAnsi="宋体" w:eastAsia="宋体" w:cs="Times New Roman"/>
                <w:color w:val="000000"/>
                <w:sz w:val="22"/>
              </w:rPr>
            </w:pPr>
            <w:r>
              <w:rPr>
                <w:rFonts w:ascii="宋体" w:hAnsi="宋体" w:eastAsia="宋体" w:cs="Times New Roman"/>
                <w:color w:val="000000"/>
                <w:sz w:val="22"/>
              </w:rPr>
              <w:t>CLCD-2023  0.9.6</w:t>
            </w:r>
          </w:p>
        </w:tc>
      </w:tr>
      <w:tr w14:paraId="222819D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13" w:type="pct"/>
            <w:vAlign w:val="center"/>
          </w:tcPr>
          <w:p w14:paraId="68A00C5D">
            <w:pPr>
              <w:jc w:val="center"/>
              <w:rPr>
                <w:rFonts w:ascii="宋体" w:hAnsi="宋体" w:eastAsia="宋体" w:cs="Times New Roman"/>
                <w:b w:val="0"/>
                <w:bCs/>
                <w:color w:val="000000"/>
                <w:sz w:val="22"/>
              </w:rPr>
            </w:pPr>
            <w:r>
              <w:rPr>
                <w:rFonts w:ascii="宋体" w:hAnsi="宋体" w:eastAsia="宋体" w:cs="Times New Roman"/>
                <w:b/>
                <w:bCs/>
                <w:color w:val="000000"/>
                <w:sz w:val="22"/>
              </w:rPr>
              <w:t>能耗</w:t>
            </w:r>
          </w:p>
        </w:tc>
        <w:tc>
          <w:tcPr>
            <w:tcW w:w="1002" w:type="pct"/>
            <w:vAlign w:val="center"/>
          </w:tcPr>
          <w:p w14:paraId="702984C8">
            <w:pPr>
              <w:jc w:val="center"/>
              <w:rPr>
                <w:rFonts w:ascii="宋体" w:hAnsi="宋体" w:eastAsia="宋体" w:cs="Times New Roman"/>
                <w:color w:val="000000"/>
                <w:sz w:val="22"/>
              </w:rPr>
            </w:pPr>
            <w:r>
              <w:rPr>
                <w:rFonts w:ascii="宋体" w:hAnsi="宋体" w:eastAsia="宋体" w:cs="Times New Roman"/>
                <w:color w:val="000000"/>
                <w:sz w:val="22"/>
              </w:rPr>
              <w:t>天然气</w:t>
            </w:r>
          </w:p>
        </w:tc>
        <w:tc>
          <w:tcPr>
            <w:tcW w:w="890" w:type="pct"/>
            <w:vAlign w:val="center"/>
          </w:tcPr>
          <w:p w14:paraId="215834E2">
            <w:pPr>
              <w:jc w:val="center"/>
              <w:rPr>
                <w:rFonts w:ascii="宋体" w:hAnsi="宋体" w:eastAsia="宋体" w:cs="Times New Roman"/>
                <w:color w:val="000000"/>
                <w:sz w:val="22"/>
              </w:rPr>
            </w:pPr>
            <w:r>
              <w:rPr>
                <w:rFonts w:ascii="宋体" w:hAnsi="宋体" w:eastAsia="宋体" w:cs="Times New Roman"/>
                <w:color w:val="000000"/>
                <w:sz w:val="22"/>
              </w:rPr>
              <w:t>26.25</w:t>
            </w:r>
          </w:p>
        </w:tc>
        <w:tc>
          <w:tcPr>
            <w:tcW w:w="497" w:type="pct"/>
            <w:vAlign w:val="center"/>
          </w:tcPr>
          <w:p w14:paraId="1053CD91">
            <w:pPr>
              <w:jc w:val="center"/>
              <w:rPr>
                <w:rFonts w:ascii="宋体" w:hAnsi="宋体" w:eastAsia="宋体" w:cs="Times New Roman"/>
                <w:color w:val="000000"/>
                <w:sz w:val="22"/>
              </w:rPr>
            </w:pPr>
            <w:r>
              <w:rPr>
                <w:rFonts w:ascii="宋体" w:hAnsi="宋体" w:eastAsia="宋体" w:cs="Times New Roman"/>
                <w:color w:val="000000"/>
                <w:sz w:val="22"/>
              </w:rPr>
              <w:t>m3</w:t>
            </w:r>
          </w:p>
        </w:tc>
        <w:tc>
          <w:tcPr>
            <w:tcW w:w="1196" w:type="pct"/>
            <w:vAlign w:val="center"/>
          </w:tcPr>
          <w:p w14:paraId="2B8BDABA">
            <w:pPr>
              <w:jc w:val="center"/>
              <w:rPr>
                <w:rFonts w:ascii="宋体" w:hAnsi="宋体" w:eastAsia="宋体" w:cs="Times New Roman"/>
                <w:color w:val="000000"/>
                <w:sz w:val="22"/>
              </w:rPr>
            </w:pPr>
            <w:r>
              <w:rPr>
                <w:rFonts w:ascii="宋体" w:hAnsi="宋体" w:eastAsia="宋体" w:cs="Times New Roman"/>
                <w:color w:val="000000"/>
                <w:sz w:val="22"/>
              </w:rPr>
              <w:t>CLCD-China 0.9</w:t>
            </w:r>
          </w:p>
        </w:tc>
      </w:tr>
    </w:tbl>
    <w:p w14:paraId="7BC757ED">
      <w:pPr>
        <w:rPr>
          <w:sz w:val="24"/>
          <w:szCs w:val="28"/>
        </w:rPr>
      </w:pPr>
      <w:r>
        <w:rPr>
          <w:rFonts w:hint="eastAsia" w:ascii="宋体" w:hAnsi="宋体" w:eastAsia="宋体"/>
          <w:sz w:val="24"/>
          <w:szCs w:val="28"/>
        </w:rPr>
        <w:t>（</w:t>
      </w:r>
      <w:r>
        <w:rPr>
          <w:rFonts w:hint="eastAsia" w:ascii="宋体" w:hAnsi="宋体"/>
          <w:sz w:val="24"/>
          <w:szCs w:val="28"/>
        </w:rPr>
        <w:t>3</w:t>
      </w:r>
      <w:r>
        <w:rPr>
          <w:rFonts w:hint="eastAsia" w:ascii="宋体" w:hAnsi="宋体" w:eastAsia="宋体"/>
          <w:sz w:val="24"/>
          <w:szCs w:val="28"/>
        </w:rPr>
        <w:t>）</w:t>
      </w:r>
      <w:r>
        <w:rPr>
          <w:sz w:val="24"/>
          <w:szCs w:val="28"/>
        </w:rPr>
        <w:t>运输信息</w:t>
      </w:r>
    </w:p>
    <w:p w14:paraId="0354D487">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表</w:t>
      </w:r>
      <w:r>
        <w:rPr>
          <w:rFonts w:hint="eastAsia" w:ascii="Times New Roman" w:hAnsi="Times New Roman" w:eastAsia="宋体" w:cs="Times New Roman"/>
          <w:color w:val="000000"/>
          <w:sz w:val="22"/>
        </w:rPr>
        <w:t>2.3-2</w:t>
      </w:r>
      <w:r>
        <w:rPr>
          <w:rFonts w:ascii="Times New Roman" w:hAnsi="Times New Roman" w:eastAsia="宋体" w:cs="Times New Roman"/>
          <w:color w:val="000000"/>
          <w:sz w:val="22"/>
        </w:rPr>
        <w:t>过程运输信息表</w:t>
      </w:r>
    </w:p>
    <w:tbl>
      <w:tblPr>
        <w:tblStyle w:val="62"/>
        <w:tblW w:w="5000"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34"/>
        <w:gridCol w:w="1164"/>
        <w:gridCol w:w="1164"/>
        <w:gridCol w:w="1019"/>
        <w:gridCol w:w="1319"/>
        <w:gridCol w:w="1822"/>
      </w:tblGrid>
      <w:tr w14:paraId="0737B4D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93" w:type="pct"/>
            <w:tcBorders>
              <w:top w:val="nil"/>
              <w:left w:val="single" w:color="000000" w:sz="4" w:space="0"/>
              <w:bottom w:val="single" w:color="000000" w:sz="4" w:space="0"/>
              <w:right w:val="nil"/>
              <w:insideV w:val="nil"/>
              <w:tl2br w:val="nil"/>
              <w:tr2bl w:val="nil"/>
            </w:tcBorders>
            <w:vAlign w:val="center"/>
          </w:tcPr>
          <w:p w14:paraId="37629009">
            <w:pPr>
              <w:jc w:val="center"/>
              <w:rPr>
                <w:rFonts w:ascii="Times New Roman" w:hAnsi="Times New Roman" w:eastAsia="宋体" w:cs="Times New Roman"/>
                <w:b w:val="0"/>
                <w:bCs/>
                <w:color w:val="000000"/>
                <w:sz w:val="22"/>
              </w:rPr>
            </w:pPr>
            <w:r>
              <w:rPr>
                <w:rFonts w:ascii="Times New Roman" w:hAnsi="Times New Roman" w:eastAsia="宋体" w:cs="Times New Roman"/>
                <w:b/>
                <w:bCs/>
                <w:color w:val="000000"/>
                <w:sz w:val="22"/>
              </w:rPr>
              <w:t>物料名称</w:t>
            </w:r>
          </w:p>
        </w:tc>
        <w:tc>
          <w:tcPr>
            <w:tcW w:w="683" w:type="pct"/>
            <w:tcBorders>
              <w:top w:val="nil"/>
              <w:bottom w:val="single" w:color="000000" w:sz="4" w:space="0"/>
              <w:right w:val="nil"/>
              <w:insideV w:val="nil"/>
              <w:tl2br w:val="nil"/>
              <w:tr2bl w:val="nil"/>
            </w:tcBorders>
            <w:vAlign w:val="center"/>
          </w:tcPr>
          <w:p w14:paraId="20018088">
            <w:pPr>
              <w:jc w:val="center"/>
              <w:rPr>
                <w:rFonts w:ascii="Times New Roman" w:hAnsi="Times New Roman" w:eastAsia="宋体" w:cs="Times New Roman"/>
                <w:b w:val="0"/>
                <w:bCs/>
                <w:color w:val="000000"/>
                <w:sz w:val="22"/>
              </w:rPr>
            </w:pPr>
            <w:r>
              <w:rPr>
                <w:rFonts w:ascii="Times New Roman" w:hAnsi="Times New Roman" w:eastAsia="宋体" w:cs="Times New Roman"/>
                <w:b/>
                <w:bCs/>
                <w:color w:val="000000"/>
                <w:sz w:val="22"/>
              </w:rPr>
              <w:t>毛重</w:t>
            </w:r>
          </w:p>
        </w:tc>
        <w:tc>
          <w:tcPr>
            <w:tcW w:w="683" w:type="pct"/>
            <w:tcBorders>
              <w:top w:val="nil"/>
              <w:bottom w:val="single" w:color="000000" w:sz="4" w:space="0"/>
              <w:right w:val="nil"/>
              <w:insideV w:val="nil"/>
              <w:tl2br w:val="nil"/>
              <w:tr2bl w:val="nil"/>
            </w:tcBorders>
            <w:vAlign w:val="center"/>
          </w:tcPr>
          <w:p w14:paraId="4ABD3552">
            <w:pPr>
              <w:jc w:val="center"/>
              <w:rPr>
                <w:rFonts w:ascii="Times New Roman" w:hAnsi="Times New Roman" w:eastAsia="宋体" w:cs="Times New Roman"/>
                <w:b w:val="0"/>
                <w:bCs/>
                <w:color w:val="000000"/>
                <w:sz w:val="22"/>
              </w:rPr>
            </w:pPr>
            <w:r>
              <w:rPr>
                <w:rFonts w:ascii="Times New Roman" w:hAnsi="Times New Roman" w:eastAsia="宋体" w:cs="Times New Roman"/>
                <w:b/>
                <w:bCs/>
                <w:color w:val="000000"/>
                <w:sz w:val="22"/>
              </w:rPr>
              <w:t>起点</w:t>
            </w:r>
          </w:p>
        </w:tc>
        <w:tc>
          <w:tcPr>
            <w:tcW w:w="598" w:type="pct"/>
            <w:tcBorders>
              <w:top w:val="nil"/>
              <w:bottom w:val="single" w:color="000000" w:sz="4" w:space="0"/>
              <w:right w:val="nil"/>
              <w:insideV w:val="nil"/>
              <w:tl2br w:val="nil"/>
              <w:tr2bl w:val="nil"/>
            </w:tcBorders>
            <w:vAlign w:val="center"/>
          </w:tcPr>
          <w:p w14:paraId="712C7F3B">
            <w:pPr>
              <w:jc w:val="center"/>
              <w:rPr>
                <w:rFonts w:ascii="Times New Roman" w:hAnsi="Times New Roman" w:eastAsia="宋体" w:cs="Times New Roman"/>
                <w:b w:val="0"/>
                <w:bCs/>
                <w:color w:val="000000"/>
                <w:sz w:val="22"/>
              </w:rPr>
            </w:pPr>
            <w:r>
              <w:rPr>
                <w:rFonts w:ascii="Times New Roman" w:hAnsi="Times New Roman" w:eastAsia="宋体" w:cs="Times New Roman"/>
                <w:b/>
                <w:bCs/>
                <w:color w:val="000000"/>
                <w:sz w:val="22"/>
              </w:rPr>
              <w:t>终点</w:t>
            </w:r>
          </w:p>
        </w:tc>
        <w:tc>
          <w:tcPr>
            <w:tcW w:w="774" w:type="pct"/>
            <w:tcBorders>
              <w:top w:val="nil"/>
              <w:bottom w:val="single" w:color="000000" w:sz="4" w:space="0"/>
              <w:right w:val="nil"/>
              <w:insideV w:val="nil"/>
              <w:tl2br w:val="nil"/>
              <w:tr2bl w:val="nil"/>
            </w:tcBorders>
            <w:vAlign w:val="center"/>
          </w:tcPr>
          <w:p w14:paraId="7E850A0D">
            <w:pPr>
              <w:jc w:val="center"/>
              <w:rPr>
                <w:rFonts w:ascii="Times New Roman" w:hAnsi="Times New Roman" w:eastAsia="宋体" w:cs="Times New Roman"/>
                <w:b w:val="0"/>
                <w:bCs/>
                <w:color w:val="000000"/>
                <w:sz w:val="22"/>
              </w:rPr>
            </w:pPr>
            <w:r>
              <w:rPr>
                <w:rFonts w:ascii="Times New Roman" w:hAnsi="Times New Roman" w:eastAsia="宋体" w:cs="Times New Roman"/>
                <w:b/>
                <w:bCs/>
                <w:color w:val="000000"/>
                <w:sz w:val="22"/>
              </w:rPr>
              <w:t>运输距离</w:t>
            </w:r>
          </w:p>
        </w:tc>
        <w:tc>
          <w:tcPr>
            <w:tcW w:w="1069" w:type="pct"/>
            <w:tcBorders>
              <w:top w:val="nil"/>
              <w:bottom w:val="single" w:color="000000" w:sz="4" w:space="0"/>
              <w:right w:val="nil"/>
              <w:insideV w:val="nil"/>
              <w:tl2br w:val="nil"/>
              <w:tr2bl w:val="nil"/>
            </w:tcBorders>
            <w:vAlign w:val="center"/>
          </w:tcPr>
          <w:p w14:paraId="3B5732D4">
            <w:pPr>
              <w:jc w:val="center"/>
              <w:rPr>
                <w:rFonts w:ascii="Times New Roman" w:hAnsi="Times New Roman" w:eastAsia="宋体" w:cs="Times New Roman"/>
                <w:b w:val="0"/>
                <w:bCs/>
                <w:color w:val="000000"/>
                <w:sz w:val="22"/>
              </w:rPr>
            </w:pPr>
            <w:r>
              <w:rPr>
                <w:rFonts w:ascii="Times New Roman" w:hAnsi="Times New Roman" w:eastAsia="宋体" w:cs="Times New Roman"/>
                <w:b/>
                <w:bCs/>
                <w:color w:val="000000"/>
                <w:sz w:val="22"/>
              </w:rPr>
              <w:t>运输类型</w:t>
            </w:r>
          </w:p>
        </w:tc>
      </w:tr>
      <w:tr w14:paraId="67DB80E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93" w:type="pct"/>
            <w:vAlign w:val="center"/>
          </w:tcPr>
          <w:p w14:paraId="0C11006C">
            <w:pPr>
              <w:pStyle w:val="14"/>
              <w:ind w:left="0" w:firstLine="0"/>
              <w:jc w:val="center"/>
              <w:rPr>
                <w:rFonts w:ascii="Times New Roman" w:hAnsi="Times New Roman" w:eastAsia="宋体"/>
                <w:b w:val="0"/>
                <w:bCs/>
                <w:color w:val="000000"/>
                <w:sz w:val="28"/>
                <w:szCs w:val="28"/>
              </w:rPr>
            </w:pPr>
            <w:r>
              <w:rPr>
                <w:rFonts w:ascii="Times New Roman" w:hAnsi="Times New Roman" w:eastAsia="宋体"/>
                <w:b/>
                <w:bCs/>
                <w:color w:val="000000"/>
                <w:kern w:val="2"/>
                <w:sz w:val="22"/>
                <w:lang w:eastAsia="zh-CN"/>
              </w:rPr>
              <w:t>石英砂</w:t>
            </w:r>
          </w:p>
        </w:tc>
        <w:tc>
          <w:tcPr>
            <w:tcW w:w="683" w:type="pct"/>
            <w:vAlign w:val="center"/>
          </w:tcPr>
          <w:p w14:paraId="77E26E7B">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250Kg</w:t>
            </w:r>
          </w:p>
        </w:tc>
        <w:tc>
          <w:tcPr>
            <w:tcW w:w="683" w:type="pct"/>
            <w:vAlign w:val="center"/>
          </w:tcPr>
          <w:p w14:paraId="5A5027C0">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河南省禹州市</w:t>
            </w:r>
          </w:p>
        </w:tc>
        <w:tc>
          <w:tcPr>
            <w:tcW w:w="598" w:type="pct"/>
            <w:vAlign w:val="center"/>
          </w:tcPr>
          <w:p w14:paraId="1AD85889">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陕西生态龙门绿碳产业有限公司</w:t>
            </w:r>
          </w:p>
        </w:tc>
        <w:tc>
          <w:tcPr>
            <w:tcW w:w="774" w:type="pct"/>
            <w:vAlign w:val="center"/>
          </w:tcPr>
          <w:p w14:paraId="1BEC6093">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315km</w:t>
            </w:r>
          </w:p>
        </w:tc>
        <w:tc>
          <w:tcPr>
            <w:tcW w:w="1069" w:type="pct"/>
            <w:vAlign w:val="center"/>
          </w:tcPr>
          <w:p w14:paraId="03E93F52">
            <w:pPr>
              <w:jc w:val="center"/>
              <w:rPr>
                <w:rFonts w:ascii="Times New Roman" w:hAnsi="Times New Roman" w:eastAsia="宋体" w:cs="Times New Roman"/>
                <w:color w:val="000000"/>
                <w:sz w:val="22"/>
                <w:szCs w:val="24"/>
              </w:rPr>
            </w:pPr>
            <w:r>
              <w:rPr>
                <w:rFonts w:ascii="Times New Roman" w:hAnsi="Times New Roman" w:eastAsia="宋体" w:cs="Times New Roman"/>
                <w:color w:val="000000"/>
                <w:sz w:val="22"/>
                <w:szCs w:val="24"/>
              </w:rPr>
              <w:t>货车运输（30t）-柴油</w:t>
            </w:r>
          </w:p>
        </w:tc>
      </w:tr>
      <w:tr w14:paraId="0E8B575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93" w:type="pct"/>
            <w:vAlign w:val="center"/>
          </w:tcPr>
          <w:p w14:paraId="0F0DFF37">
            <w:pPr>
              <w:pStyle w:val="14"/>
              <w:ind w:left="0" w:firstLine="0"/>
              <w:jc w:val="center"/>
              <w:rPr>
                <w:rFonts w:ascii="Times New Roman" w:hAnsi="Times New Roman" w:eastAsia="宋体"/>
                <w:b w:val="0"/>
                <w:bCs/>
                <w:color w:val="000000"/>
                <w:sz w:val="28"/>
                <w:szCs w:val="28"/>
              </w:rPr>
            </w:pPr>
            <w:r>
              <w:rPr>
                <w:rFonts w:ascii="Times New Roman" w:hAnsi="Times New Roman" w:eastAsia="宋体"/>
                <w:b/>
                <w:bCs/>
                <w:color w:val="000000"/>
                <w:kern w:val="2"/>
                <w:sz w:val="22"/>
                <w:lang w:eastAsia="zh-CN"/>
              </w:rPr>
              <w:t>煤矸石</w:t>
            </w:r>
          </w:p>
        </w:tc>
        <w:tc>
          <w:tcPr>
            <w:tcW w:w="683" w:type="pct"/>
            <w:vAlign w:val="center"/>
          </w:tcPr>
          <w:p w14:paraId="6EF44616">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500Kg</w:t>
            </w:r>
          </w:p>
        </w:tc>
        <w:tc>
          <w:tcPr>
            <w:tcW w:w="683" w:type="pct"/>
            <w:vAlign w:val="center"/>
          </w:tcPr>
          <w:p w14:paraId="5D3E4A7E">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韩城下峪口煤矿</w:t>
            </w:r>
          </w:p>
        </w:tc>
        <w:tc>
          <w:tcPr>
            <w:tcW w:w="598" w:type="pct"/>
            <w:vAlign w:val="center"/>
          </w:tcPr>
          <w:p w14:paraId="28D29685">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陕西生态龙门绿碳产业有限公司</w:t>
            </w:r>
          </w:p>
        </w:tc>
        <w:tc>
          <w:tcPr>
            <w:tcW w:w="774" w:type="pct"/>
            <w:vAlign w:val="center"/>
          </w:tcPr>
          <w:p w14:paraId="68D57FD6">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10km</w:t>
            </w:r>
          </w:p>
        </w:tc>
        <w:tc>
          <w:tcPr>
            <w:tcW w:w="1069" w:type="pct"/>
            <w:vAlign w:val="center"/>
          </w:tcPr>
          <w:p w14:paraId="4EC8A5FE">
            <w:pPr>
              <w:jc w:val="center"/>
              <w:rPr>
                <w:rFonts w:ascii="Times New Roman" w:hAnsi="Times New Roman" w:eastAsia="宋体" w:cs="Times New Roman"/>
                <w:color w:val="000000"/>
                <w:sz w:val="22"/>
                <w:szCs w:val="24"/>
              </w:rPr>
            </w:pPr>
            <w:r>
              <w:rPr>
                <w:rFonts w:ascii="Times New Roman" w:hAnsi="Times New Roman" w:eastAsia="宋体" w:cs="Times New Roman"/>
                <w:color w:val="000000"/>
                <w:sz w:val="22"/>
                <w:szCs w:val="24"/>
              </w:rPr>
              <w:t>货车运输（30t）-柴油</w:t>
            </w:r>
          </w:p>
        </w:tc>
      </w:tr>
      <w:tr w14:paraId="08AD4F3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93" w:type="pct"/>
            <w:vAlign w:val="center"/>
          </w:tcPr>
          <w:p w14:paraId="61F3B7CC">
            <w:pPr>
              <w:pStyle w:val="14"/>
              <w:ind w:left="0" w:firstLine="0"/>
              <w:jc w:val="center"/>
              <w:rPr>
                <w:rFonts w:ascii="Times New Roman" w:hAnsi="Times New Roman" w:eastAsia="宋体"/>
                <w:b w:val="0"/>
                <w:bCs/>
                <w:color w:val="000000"/>
                <w:sz w:val="28"/>
                <w:szCs w:val="28"/>
              </w:rPr>
            </w:pPr>
            <w:r>
              <w:rPr>
                <w:rFonts w:ascii="Times New Roman" w:hAnsi="Times New Roman" w:eastAsia="宋体"/>
                <w:b/>
                <w:bCs/>
                <w:color w:val="000000"/>
                <w:kern w:val="2"/>
                <w:sz w:val="22"/>
                <w:lang w:eastAsia="zh-CN"/>
              </w:rPr>
              <w:t>氟硅酸钠</w:t>
            </w:r>
          </w:p>
        </w:tc>
        <w:tc>
          <w:tcPr>
            <w:tcW w:w="683" w:type="pct"/>
            <w:vAlign w:val="center"/>
          </w:tcPr>
          <w:p w14:paraId="1ED6D9B9">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20Kg</w:t>
            </w:r>
          </w:p>
        </w:tc>
        <w:tc>
          <w:tcPr>
            <w:tcW w:w="683" w:type="pct"/>
            <w:vAlign w:val="center"/>
          </w:tcPr>
          <w:p w14:paraId="7E6AFB97">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云南省昆明市</w:t>
            </w:r>
          </w:p>
        </w:tc>
        <w:tc>
          <w:tcPr>
            <w:tcW w:w="598" w:type="pct"/>
            <w:vAlign w:val="center"/>
          </w:tcPr>
          <w:p w14:paraId="492A8C5E">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陕西生态龙门绿碳产业有限公司</w:t>
            </w:r>
          </w:p>
        </w:tc>
        <w:tc>
          <w:tcPr>
            <w:tcW w:w="774" w:type="pct"/>
            <w:vAlign w:val="center"/>
          </w:tcPr>
          <w:p w14:paraId="14732C9B">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1399km</w:t>
            </w:r>
          </w:p>
        </w:tc>
        <w:tc>
          <w:tcPr>
            <w:tcW w:w="1069" w:type="pct"/>
            <w:vAlign w:val="center"/>
          </w:tcPr>
          <w:p w14:paraId="26D53EBC">
            <w:pPr>
              <w:jc w:val="center"/>
              <w:rPr>
                <w:rFonts w:ascii="Times New Roman" w:hAnsi="Times New Roman" w:eastAsia="宋体" w:cs="Times New Roman"/>
                <w:color w:val="000000"/>
                <w:sz w:val="22"/>
                <w:szCs w:val="24"/>
              </w:rPr>
            </w:pPr>
            <w:r>
              <w:rPr>
                <w:rFonts w:ascii="Times New Roman" w:hAnsi="Times New Roman" w:eastAsia="宋体" w:cs="Times New Roman"/>
                <w:color w:val="000000"/>
                <w:sz w:val="22"/>
                <w:szCs w:val="24"/>
              </w:rPr>
              <w:t>货车运输（30t）-柴油</w:t>
            </w:r>
          </w:p>
        </w:tc>
      </w:tr>
      <w:tr w14:paraId="661098D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93" w:type="pct"/>
            <w:vAlign w:val="center"/>
          </w:tcPr>
          <w:p w14:paraId="5B0BFD47">
            <w:pPr>
              <w:pStyle w:val="14"/>
              <w:ind w:left="0" w:firstLine="0"/>
              <w:jc w:val="center"/>
              <w:rPr>
                <w:rFonts w:ascii="Times New Roman" w:hAnsi="Times New Roman" w:eastAsia="宋体"/>
                <w:b w:val="0"/>
                <w:bCs/>
                <w:color w:val="000000"/>
                <w:sz w:val="28"/>
                <w:szCs w:val="28"/>
              </w:rPr>
            </w:pPr>
            <w:r>
              <w:rPr>
                <w:rFonts w:ascii="Times New Roman" w:hAnsi="Times New Roman" w:eastAsia="宋体"/>
                <w:b/>
                <w:bCs/>
                <w:color w:val="000000"/>
                <w:kern w:val="2"/>
                <w:sz w:val="22"/>
                <w:lang w:eastAsia="zh-CN"/>
              </w:rPr>
              <w:t>碳酸钙</w:t>
            </w:r>
          </w:p>
        </w:tc>
        <w:tc>
          <w:tcPr>
            <w:tcW w:w="683" w:type="pct"/>
            <w:vAlign w:val="center"/>
          </w:tcPr>
          <w:p w14:paraId="1081B5B0">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250Kg</w:t>
            </w:r>
          </w:p>
        </w:tc>
        <w:tc>
          <w:tcPr>
            <w:tcW w:w="683" w:type="pct"/>
            <w:vAlign w:val="center"/>
          </w:tcPr>
          <w:p w14:paraId="15FC2E34">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韩城市</w:t>
            </w:r>
          </w:p>
        </w:tc>
        <w:tc>
          <w:tcPr>
            <w:tcW w:w="598" w:type="pct"/>
            <w:vAlign w:val="center"/>
          </w:tcPr>
          <w:p w14:paraId="4CBEEFDF">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陕西生态龙门绿碳产业有限公司</w:t>
            </w:r>
          </w:p>
        </w:tc>
        <w:tc>
          <w:tcPr>
            <w:tcW w:w="774" w:type="pct"/>
            <w:vAlign w:val="center"/>
          </w:tcPr>
          <w:p w14:paraId="60523150">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1168km</w:t>
            </w:r>
          </w:p>
        </w:tc>
        <w:tc>
          <w:tcPr>
            <w:tcW w:w="1069" w:type="pct"/>
            <w:vAlign w:val="center"/>
          </w:tcPr>
          <w:p w14:paraId="23B00257">
            <w:pPr>
              <w:jc w:val="center"/>
              <w:rPr>
                <w:rFonts w:ascii="Times New Roman" w:hAnsi="Times New Roman" w:eastAsia="宋体" w:cs="Times New Roman"/>
                <w:color w:val="000000"/>
                <w:sz w:val="22"/>
                <w:szCs w:val="24"/>
              </w:rPr>
            </w:pPr>
            <w:r>
              <w:rPr>
                <w:rFonts w:ascii="Times New Roman" w:hAnsi="Times New Roman" w:eastAsia="宋体" w:cs="Times New Roman"/>
                <w:color w:val="000000"/>
                <w:sz w:val="22"/>
                <w:szCs w:val="24"/>
              </w:rPr>
              <w:t>货车运输（30t）-柴油</w:t>
            </w:r>
          </w:p>
        </w:tc>
      </w:tr>
      <w:tr w14:paraId="29A6F9D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93" w:type="pct"/>
            <w:vAlign w:val="center"/>
          </w:tcPr>
          <w:p w14:paraId="2EC827D7">
            <w:pPr>
              <w:pStyle w:val="14"/>
              <w:ind w:left="0" w:firstLine="0"/>
              <w:jc w:val="center"/>
              <w:rPr>
                <w:rFonts w:ascii="Times New Roman" w:hAnsi="Times New Roman" w:eastAsia="宋体"/>
                <w:b w:val="0"/>
                <w:bCs/>
                <w:color w:val="000000"/>
                <w:sz w:val="28"/>
                <w:szCs w:val="28"/>
              </w:rPr>
            </w:pPr>
            <w:r>
              <w:rPr>
                <w:rFonts w:ascii="Times New Roman" w:hAnsi="Times New Roman" w:eastAsia="宋体"/>
                <w:b/>
                <w:bCs/>
                <w:color w:val="000000"/>
                <w:kern w:val="2"/>
                <w:sz w:val="22"/>
                <w:lang w:eastAsia="zh-CN"/>
              </w:rPr>
              <w:t>纯碱</w:t>
            </w:r>
          </w:p>
        </w:tc>
        <w:tc>
          <w:tcPr>
            <w:tcW w:w="683" w:type="pct"/>
            <w:vAlign w:val="center"/>
          </w:tcPr>
          <w:p w14:paraId="11F984F2">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100Kg</w:t>
            </w:r>
          </w:p>
        </w:tc>
        <w:tc>
          <w:tcPr>
            <w:tcW w:w="683" w:type="pct"/>
            <w:vAlign w:val="center"/>
          </w:tcPr>
          <w:p w14:paraId="3D3158E4">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青海省格尔木市</w:t>
            </w:r>
          </w:p>
        </w:tc>
        <w:tc>
          <w:tcPr>
            <w:tcW w:w="598" w:type="pct"/>
            <w:vAlign w:val="center"/>
          </w:tcPr>
          <w:p w14:paraId="0214E294">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陕西生态龙门绿碳产业有限公司</w:t>
            </w:r>
          </w:p>
        </w:tc>
        <w:tc>
          <w:tcPr>
            <w:tcW w:w="774" w:type="pct"/>
            <w:vAlign w:val="center"/>
          </w:tcPr>
          <w:p w14:paraId="41AA8387">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1404km</w:t>
            </w:r>
          </w:p>
        </w:tc>
        <w:tc>
          <w:tcPr>
            <w:tcW w:w="1069" w:type="pct"/>
            <w:vAlign w:val="center"/>
          </w:tcPr>
          <w:p w14:paraId="2C229333">
            <w:pPr>
              <w:jc w:val="center"/>
              <w:rPr>
                <w:rFonts w:ascii="Times New Roman" w:hAnsi="Times New Roman" w:eastAsia="宋体" w:cs="Times New Roman"/>
                <w:color w:val="000000"/>
                <w:sz w:val="22"/>
                <w:szCs w:val="24"/>
              </w:rPr>
            </w:pPr>
            <w:r>
              <w:rPr>
                <w:rFonts w:ascii="Times New Roman" w:hAnsi="Times New Roman" w:eastAsia="宋体" w:cs="Times New Roman"/>
                <w:color w:val="000000"/>
                <w:sz w:val="22"/>
                <w:szCs w:val="24"/>
              </w:rPr>
              <w:t>货车运输（30t）-柴油</w:t>
            </w:r>
          </w:p>
        </w:tc>
      </w:tr>
    </w:tbl>
    <w:p w14:paraId="73D231BC">
      <w:pPr>
        <w:pStyle w:val="14"/>
        <w:spacing w:before="0"/>
        <w:rPr>
          <w:rFonts w:ascii="Times New Roman" w:hAnsi="Times New Roman"/>
          <w:color w:val="FF0000"/>
        </w:rPr>
      </w:pPr>
      <w:r>
        <w:rPr>
          <w:rFonts w:hint="eastAsia" w:ascii="Times New Roman" w:hAnsi="Times New Roman" w:eastAsia="楷体"/>
          <w:color w:val="000000"/>
          <w:kern w:val="2"/>
          <w:sz w:val="22"/>
          <w:szCs w:val="22"/>
          <w:lang w:eastAsia="zh-CN"/>
        </w:rPr>
        <w:t>注：运输数据上游数据来源均来自CLCD数据库</w:t>
      </w:r>
    </w:p>
    <w:p w14:paraId="6C51A262">
      <w:pPr>
        <w:pStyle w:val="47"/>
        <w:spacing w:before="100" w:beforeAutospacing="1" w:after="0" w:line="240" w:lineRule="auto"/>
        <w:rPr>
          <w:rFonts w:ascii="Times New Roman" w:hAnsi="Times New Roman" w:cs="Times New Roman"/>
          <w:sz w:val="30"/>
          <w:szCs w:val="30"/>
        </w:rPr>
      </w:pPr>
      <w:bookmarkStart w:id="80" w:name="_Toc8645"/>
      <w:bookmarkStart w:id="81" w:name="_Toc30855"/>
      <w:r>
        <w:rPr>
          <w:rFonts w:ascii="Times New Roman" w:hAnsi="Times New Roman" w:cs="Times New Roman"/>
          <w:sz w:val="30"/>
          <w:szCs w:val="30"/>
        </w:rPr>
        <w:t>生命周期影响分析</w:t>
      </w:r>
      <w:bookmarkEnd w:id="80"/>
      <w:bookmarkEnd w:id="81"/>
      <w:bookmarkStart w:id="82" w:name="_Toc36735100"/>
    </w:p>
    <w:p w14:paraId="14E36E37">
      <w:pPr>
        <w:pStyle w:val="48"/>
        <w:spacing w:after="0"/>
      </w:pPr>
      <w:bookmarkStart w:id="83" w:name="_Toc939"/>
      <w:bookmarkStart w:id="84" w:name="_Toc31651"/>
      <w:r>
        <w:rPr>
          <w:rFonts w:hint="eastAsia"/>
        </w:rPr>
        <w:t xml:space="preserve">3.1 </w:t>
      </w:r>
      <w:r>
        <w:t>LCA结果</w:t>
      </w:r>
      <w:bookmarkEnd w:id="82"/>
      <w:bookmarkEnd w:id="83"/>
      <w:bookmarkEnd w:id="84"/>
    </w:p>
    <w:p w14:paraId="0E4BBAAF">
      <w:pPr>
        <w:spacing w:line="360" w:lineRule="auto"/>
        <w:ind w:firstLine="420"/>
        <w:rPr>
          <w:rStyle w:val="46"/>
          <w:rFonts w:hint="default" w:cs="Times New Roman"/>
        </w:rPr>
      </w:pPr>
      <w:r>
        <w:rPr>
          <w:rFonts w:ascii="Times New Roman" w:hAnsi="Times New Roman" w:cs="Times New Roman"/>
          <w:szCs w:val="28"/>
        </w:rPr>
        <w:t>LCA结果</w:t>
      </w:r>
      <w:r>
        <w:rPr>
          <w:rStyle w:val="46"/>
          <w:rFonts w:hint="default" w:ascii="Times New Roman" w:hAnsi="Times New Roman"/>
        </w:rPr>
        <w:t>在eFootprint上建模计算</w:t>
      </w:r>
      <w:r>
        <w:rPr>
          <w:rStyle w:val="46"/>
          <w:rFonts w:hint="default" w:cs="宋体"/>
        </w:rPr>
        <w:t>了</w:t>
      </w:r>
      <w:r>
        <w:rPr>
          <w:rStyle w:val="46"/>
          <w:rFonts w:cs="宋体"/>
        </w:rPr>
        <w:t>1t微晶玻璃</w:t>
      </w:r>
      <w:r>
        <w:rPr>
          <w:rStyle w:val="46"/>
          <w:rFonts w:hint="default" w:cs="宋体"/>
        </w:rPr>
        <w:t>的LCA结果</w:t>
      </w:r>
      <w:r>
        <w:rPr>
          <w:rStyle w:val="46"/>
          <w:rFonts w:hint="default" w:ascii="Times New Roman" w:hAnsi="Times New Roman"/>
        </w:rPr>
        <w:t>，计算指标为</w:t>
      </w:r>
      <w:r>
        <w:rPr>
          <w:rStyle w:val="46"/>
          <w:rFonts w:hint="default" w:cs="宋体"/>
        </w:rPr>
        <w:t>气候变化(GWP-2021)、一次能源消耗(PED)、非生物资源消耗潜值(ADP)、水资源消耗(WU)、酸化(AP)、富营养化潜值(EP)、可吸入无机物(RI)、臭氧层消耗(ODP)、光化学臭氧合成(POFP)</w:t>
      </w:r>
      <w:r>
        <w:rPr>
          <w:rStyle w:val="46"/>
          <w:rFonts w:hint="default" w:ascii="Times New Roman" w:hAnsi="Times New Roman"/>
        </w:rPr>
        <w:t>结果如下</w:t>
      </w:r>
    </w:p>
    <w:p w14:paraId="03730CE1">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表3.1-1微晶玻璃LCA结果</w:t>
      </w:r>
    </w:p>
    <w:tbl>
      <w:tblPr>
        <w:tblStyle w:val="62"/>
        <w:tblW w:w="5000"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90"/>
        <w:gridCol w:w="2037"/>
        <w:gridCol w:w="2995"/>
      </w:tblGrid>
      <w:tr w14:paraId="4FA89F6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48" w:type="pct"/>
            <w:tcBorders>
              <w:top w:val="nil"/>
              <w:left w:val="single" w:color="000000" w:sz="4" w:space="0"/>
              <w:bottom w:val="single" w:color="000000" w:sz="4" w:space="0"/>
              <w:right w:val="nil"/>
              <w:insideV w:val="nil"/>
              <w:tl2br w:val="nil"/>
              <w:tr2bl w:val="nil"/>
            </w:tcBorders>
            <w:vAlign w:val="center"/>
          </w:tcPr>
          <w:p w14:paraId="3FC3EC81">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环境影响类型指标</w:t>
            </w:r>
          </w:p>
        </w:tc>
        <w:tc>
          <w:tcPr>
            <w:tcW w:w="1195" w:type="pct"/>
            <w:tcBorders>
              <w:top w:val="nil"/>
              <w:bottom w:val="single" w:color="000000" w:sz="4" w:space="0"/>
              <w:right w:val="nil"/>
              <w:insideV w:val="nil"/>
              <w:tl2br w:val="nil"/>
              <w:tr2bl w:val="nil"/>
            </w:tcBorders>
            <w:vAlign w:val="center"/>
          </w:tcPr>
          <w:p w14:paraId="50AE50BD">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影响类型指标单位</w:t>
            </w:r>
          </w:p>
        </w:tc>
        <w:tc>
          <w:tcPr>
            <w:tcW w:w="1757" w:type="pct"/>
            <w:tcBorders>
              <w:top w:val="nil"/>
              <w:bottom w:val="single" w:color="000000" w:sz="4" w:space="0"/>
              <w:right w:val="nil"/>
              <w:insideV w:val="nil"/>
              <w:tl2br w:val="nil"/>
              <w:tr2bl w:val="nil"/>
            </w:tcBorders>
            <w:vAlign w:val="center"/>
          </w:tcPr>
          <w:p w14:paraId="6EA19ADE">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LCA结果</w:t>
            </w:r>
          </w:p>
        </w:tc>
      </w:tr>
      <w:tr w14:paraId="2E59435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48" w:type="pct"/>
            <w:vAlign w:val="center"/>
          </w:tcPr>
          <w:p w14:paraId="3D0B9845">
            <w:pPr>
              <w:pStyle w:val="14"/>
              <w:ind w:left="0" w:firstLine="0"/>
              <w:jc w:val="center"/>
              <w:rPr>
                <w:rFonts w:eastAsia="宋体"/>
                <w:b w:val="0"/>
                <w:bCs/>
                <w:color w:val="000000"/>
                <w:sz w:val="22"/>
                <w:szCs w:val="22"/>
              </w:rPr>
            </w:pPr>
            <w:r>
              <w:rPr>
                <w:rFonts w:eastAsia="宋体"/>
                <w:b w:val="0"/>
                <w:bCs/>
                <w:color w:val="000000"/>
                <w:sz w:val="22"/>
                <w:szCs w:val="22"/>
              </w:rPr>
              <w:t>GWP-2021</w:t>
            </w:r>
          </w:p>
        </w:tc>
        <w:tc>
          <w:tcPr>
            <w:tcW w:w="1195" w:type="pct"/>
            <w:vAlign w:val="center"/>
          </w:tcPr>
          <w:p w14:paraId="7CD17A64">
            <w:pPr>
              <w:jc w:val="center"/>
              <w:rPr>
                <w:rFonts w:ascii="宋体" w:hAnsi="宋体" w:eastAsia="宋体" w:cs="Times New Roman"/>
                <w:color w:val="000000"/>
                <w:sz w:val="22"/>
              </w:rPr>
            </w:pPr>
            <w:r>
              <w:rPr>
                <w:rFonts w:ascii="宋体" w:hAnsi="宋体" w:eastAsia="宋体" w:cs="Times New Roman"/>
                <w:color w:val="000000"/>
                <w:sz w:val="22"/>
              </w:rPr>
              <w:t>kg CO2 eq</w:t>
            </w:r>
          </w:p>
        </w:tc>
        <w:tc>
          <w:tcPr>
            <w:tcW w:w="1757" w:type="pct"/>
            <w:vAlign w:val="center"/>
          </w:tcPr>
          <w:p w14:paraId="52038EF4">
            <w:pPr>
              <w:jc w:val="center"/>
              <w:rPr>
                <w:rFonts w:ascii="宋体" w:hAnsi="宋体" w:eastAsia="宋体" w:cs="Times New Roman"/>
                <w:color w:val="000000"/>
                <w:sz w:val="22"/>
              </w:rPr>
            </w:pPr>
            <w:r>
              <w:rPr>
                <w:rFonts w:ascii="宋体" w:hAnsi="宋体" w:eastAsia="宋体" w:cs="Times New Roman"/>
                <w:color w:val="000000"/>
                <w:sz w:val="22"/>
              </w:rPr>
              <w:t>1916.8</w:t>
            </w:r>
          </w:p>
        </w:tc>
      </w:tr>
      <w:tr w14:paraId="76F57E4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48" w:type="pct"/>
            <w:vAlign w:val="center"/>
          </w:tcPr>
          <w:p w14:paraId="4FD7D08D">
            <w:pPr>
              <w:pStyle w:val="14"/>
              <w:ind w:left="0" w:firstLine="0"/>
              <w:jc w:val="center"/>
              <w:rPr>
                <w:rFonts w:eastAsia="宋体"/>
                <w:b w:val="0"/>
                <w:bCs/>
                <w:color w:val="000000"/>
                <w:sz w:val="22"/>
                <w:szCs w:val="22"/>
              </w:rPr>
            </w:pPr>
            <w:r>
              <w:rPr>
                <w:rFonts w:eastAsia="宋体"/>
                <w:b w:val="0"/>
                <w:bCs/>
                <w:color w:val="000000"/>
                <w:sz w:val="22"/>
                <w:szCs w:val="22"/>
              </w:rPr>
              <w:t>PED</w:t>
            </w:r>
          </w:p>
        </w:tc>
        <w:tc>
          <w:tcPr>
            <w:tcW w:w="1195" w:type="pct"/>
            <w:vAlign w:val="center"/>
          </w:tcPr>
          <w:p w14:paraId="1EE1646A">
            <w:pPr>
              <w:jc w:val="center"/>
              <w:rPr>
                <w:rFonts w:ascii="宋体" w:hAnsi="宋体" w:eastAsia="宋体" w:cs="Times New Roman"/>
                <w:color w:val="000000"/>
                <w:sz w:val="22"/>
              </w:rPr>
            </w:pPr>
            <w:r>
              <w:rPr>
                <w:rFonts w:ascii="宋体" w:hAnsi="宋体" w:eastAsia="宋体" w:cs="Times New Roman"/>
                <w:color w:val="000000"/>
                <w:sz w:val="22"/>
              </w:rPr>
              <w:t>MJ</w:t>
            </w:r>
          </w:p>
        </w:tc>
        <w:tc>
          <w:tcPr>
            <w:tcW w:w="1757" w:type="pct"/>
            <w:vAlign w:val="center"/>
          </w:tcPr>
          <w:p w14:paraId="1839D3DC">
            <w:pPr>
              <w:jc w:val="center"/>
              <w:rPr>
                <w:rFonts w:ascii="宋体" w:hAnsi="宋体" w:eastAsia="宋体" w:cs="Times New Roman"/>
                <w:color w:val="000000"/>
                <w:sz w:val="22"/>
              </w:rPr>
            </w:pPr>
            <w:r>
              <w:rPr>
                <w:rFonts w:ascii="宋体" w:hAnsi="宋体" w:eastAsia="宋体" w:cs="Times New Roman"/>
                <w:color w:val="000000"/>
                <w:sz w:val="22"/>
              </w:rPr>
              <w:t>4.06E+04</w:t>
            </w:r>
          </w:p>
        </w:tc>
      </w:tr>
      <w:tr w14:paraId="2F1FA0A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48" w:type="pct"/>
            <w:vAlign w:val="center"/>
          </w:tcPr>
          <w:p w14:paraId="55EA18DF">
            <w:pPr>
              <w:pStyle w:val="14"/>
              <w:ind w:left="0" w:firstLine="0"/>
              <w:jc w:val="center"/>
              <w:rPr>
                <w:rFonts w:eastAsia="宋体"/>
                <w:b w:val="0"/>
                <w:bCs/>
                <w:color w:val="000000"/>
                <w:sz w:val="22"/>
                <w:szCs w:val="22"/>
              </w:rPr>
            </w:pPr>
            <w:r>
              <w:rPr>
                <w:rFonts w:eastAsia="宋体"/>
                <w:b w:val="0"/>
                <w:bCs/>
                <w:color w:val="000000"/>
                <w:sz w:val="22"/>
                <w:szCs w:val="22"/>
              </w:rPr>
              <w:t>ADP</w:t>
            </w:r>
          </w:p>
        </w:tc>
        <w:tc>
          <w:tcPr>
            <w:tcW w:w="1195" w:type="pct"/>
            <w:vAlign w:val="center"/>
          </w:tcPr>
          <w:p w14:paraId="3D37F7B9">
            <w:pPr>
              <w:jc w:val="center"/>
              <w:rPr>
                <w:rFonts w:ascii="宋体" w:hAnsi="宋体" w:eastAsia="宋体" w:cs="Times New Roman"/>
                <w:color w:val="000000"/>
                <w:sz w:val="22"/>
              </w:rPr>
            </w:pPr>
            <w:r>
              <w:rPr>
                <w:rFonts w:ascii="宋体" w:hAnsi="宋体" w:eastAsia="宋体" w:cs="Times New Roman"/>
                <w:color w:val="000000"/>
                <w:sz w:val="22"/>
              </w:rPr>
              <w:t>kg antimony eq.</w:t>
            </w:r>
          </w:p>
        </w:tc>
        <w:tc>
          <w:tcPr>
            <w:tcW w:w="1757" w:type="pct"/>
            <w:vAlign w:val="center"/>
          </w:tcPr>
          <w:p w14:paraId="500D6606">
            <w:pPr>
              <w:jc w:val="center"/>
              <w:rPr>
                <w:rFonts w:ascii="宋体" w:hAnsi="宋体" w:eastAsia="宋体" w:cs="Times New Roman"/>
                <w:color w:val="000000"/>
                <w:sz w:val="22"/>
              </w:rPr>
            </w:pPr>
            <w:r>
              <w:rPr>
                <w:rFonts w:ascii="宋体" w:hAnsi="宋体" w:eastAsia="宋体" w:cs="Times New Roman"/>
                <w:color w:val="000000"/>
                <w:sz w:val="22"/>
              </w:rPr>
              <w:t>0.02</w:t>
            </w:r>
          </w:p>
        </w:tc>
      </w:tr>
      <w:tr w14:paraId="3CEF382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48" w:type="pct"/>
            <w:vAlign w:val="center"/>
          </w:tcPr>
          <w:p w14:paraId="283F78F1">
            <w:pPr>
              <w:pStyle w:val="14"/>
              <w:ind w:left="0" w:firstLine="0"/>
              <w:jc w:val="center"/>
              <w:rPr>
                <w:rFonts w:eastAsia="宋体"/>
                <w:b w:val="0"/>
                <w:bCs/>
                <w:color w:val="000000"/>
                <w:sz w:val="22"/>
                <w:szCs w:val="22"/>
              </w:rPr>
            </w:pPr>
            <w:r>
              <w:rPr>
                <w:rFonts w:eastAsia="宋体"/>
                <w:b w:val="0"/>
                <w:bCs/>
                <w:color w:val="000000"/>
                <w:sz w:val="22"/>
                <w:szCs w:val="22"/>
              </w:rPr>
              <w:t>WU</w:t>
            </w:r>
          </w:p>
        </w:tc>
        <w:tc>
          <w:tcPr>
            <w:tcW w:w="1195" w:type="pct"/>
            <w:vAlign w:val="center"/>
          </w:tcPr>
          <w:p w14:paraId="6BF8684B">
            <w:pPr>
              <w:jc w:val="center"/>
              <w:rPr>
                <w:rFonts w:ascii="宋体" w:hAnsi="宋体" w:eastAsia="宋体" w:cs="Times New Roman"/>
                <w:color w:val="000000"/>
                <w:sz w:val="22"/>
              </w:rPr>
            </w:pPr>
            <w:r>
              <w:rPr>
                <w:rFonts w:ascii="宋体" w:hAnsi="宋体" w:eastAsia="宋体" w:cs="Times New Roman"/>
                <w:color w:val="000000"/>
                <w:sz w:val="22"/>
              </w:rPr>
              <w:t>kg</w:t>
            </w:r>
          </w:p>
        </w:tc>
        <w:tc>
          <w:tcPr>
            <w:tcW w:w="1757" w:type="pct"/>
            <w:vAlign w:val="center"/>
          </w:tcPr>
          <w:p w14:paraId="4CA391D1">
            <w:pPr>
              <w:jc w:val="center"/>
              <w:rPr>
                <w:rFonts w:ascii="宋体" w:hAnsi="宋体" w:eastAsia="宋体" w:cs="Times New Roman"/>
                <w:color w:val="000000"/>
                <w:sz w:val="22"/>
              </w:rPr>
            </w:pPr>
            <w:r>
              <w:rPr>
                <w:rFonts w:ascii="宋体" w:hAnsi="宋体" w:eastAsia="宋体" w:cs="Times New Roman"/>
                <w:color w:val="000000"/>
                <w:sz w:val="22"/>
              </w:rPr>
              <w:t>5.60E+04</w:t>
            </w:r>
          </w:p>
        </w:tc>
      </w:tr>
      <w:tr w14:paraId="238BD12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48" w:type="pct"/>
            <w:vAlign w:val="center"/>
          </w:tcPr>
          <w:p w14:paraId="74663E2E">
            <w:pPr>
              <w:pStyle w:val="14"/>
              <w:ind w:left="0" w:firstLine="0"/>
              <w:jc w:val="center"/>
              <w:rPr>
                <w:rFonts w:eastAsia="宋体"/>
                <w:b w:val="0"/>
                <w:bCs/>
                <w:color w:val="000000"/>
                <w:sz w:val="22"/>
                <w:szCs w:val="22"/>
              </w:rPr>
            </w:pPr>
            <w:r>
              <w:rPr>
                <w:rFonts w:eastAsia="宋体"/>
                <w:b w:val="0"/>
                <w:bCs/>
                <w:color w:val="000000"/>
                <w:sz w:val="22"/>
                <w:szCs w:val="22"/>
              </w:rPr>
              <w:t>AP</w:t>
            </w:r>
          </w:p>
        </w:tc>
        <w:tc>
          <w:tcPr>
            <w:tcW w:w="1195" w:type="pct"/>
            <w:vAlign w:val="center"/>
          </w:tcPr>
          <w:p w14:paraId="7AA460FF">
            <w:pPr>
              <w:jc w:val="center"/>
              <w:rPr>
                <w:rFonts w:ascii="宋体" w:hAnsi="宋体" w:eastAsia="宋体" w:cs="Times New Roman"/>
                <w:color w:val="000000"/>
                <w:sz w:val="22"/>
              </w:rPr>
            </w:pPr>
            <w:r>
              <w:rPr>
                <w:rFonts w:ascii="宋体" w:hAnsi="宋体" w:eastAsia="宋体" w:cs="Times New Roman"/>
                <w:color w:val="000000"/>
                <w:sz w:val="22"/>
              </w:rPr>
              <w:t>kg SO2 eq</w:t>
            </w:r>
          </w:p>
        </w:tc>
        <w:tc>
          <w:tcPr>
            <w:tcW w:w="1757" w:type="pct"/>
            <w:vAlign w:val="center"/>
          </w:tcPr>
          <w:p w14:paraId="42C4F9CF">
            <w:pPr>
              <w:jc w:val="center"/>
              <w:rPr>
                <w:rFonts w:ascii="宋体" w:hAnsi="宋体" w:eastAsia="宋体" w:cs="Times New Roman"/>
                <w:color w:val="000000"/>
                <w:sz w:val="22"/>
              </w:rPr>
            </w:pPr>
            <w:r>
              <w:rPr>
                <w:rFonts w:ascii="宋体" w:hAnsi="宋体" w:eastAsia="宋体" w:cs="Times New Roman"/>
                <w:color w:val="000000"/>
                <w:sz w:val="22"/>
              </w:rPr>
              <w:t>13.55</w:t>
            </w:r>
          </w:p>
        </w:tc>
      </w:tr>
      <w:tr w14:paraId="5CF28BF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48" w:type="pct"/>
            <w:vAlign w:val="center"/>
          </w:tcPr>
          <w:p w14:paraId="25EAA604">
            <w:pPr>
              <w:pStyle w:val="14"/>
              <w:ind w:left="0" w:firstLine="0"/>
              <w:jc w:val="center"/>
              <w:rPr>
                <w:rFonts w:eastAsia="宋体"/>
                <w:b w:val="0"/>
                <w:bCs/>
                <w:color w:val="000000"/>
                <w:sz w:val="22"/>
                <w:szCs w:val="22"/>
              </w:rPr>
            </w:pPr>
            <w:r>
              <w:rPr>
                <w:rFonts w:eastAsia="宋体"/>
                <w:b w:val="0"/>
                <w:bCs/>
                <w:color w:val="000000"/>
                <w:sz w:val="22"/>
                <w:szCs w:val="22"/>
              </w:rPr>
              <w:t>EP</w:t>
            </w:r>
          </w:p>
        </w:tc>
        <w:tc>
          <w:tcPr>
            <w:tcW w:w="1195" w:type="pct"/>
            <w:vAlign w:val="center"/>
          </w:tcPr>
          <w:p w14:paraId="1820DAE3">
            <w:pPr>
              <w:jc w:val="center"/>
              <w:rPr>
                <w:rFonts w:ascii="宋体" w:hAnsi="宋体" w:eastAsia="宋体" w:cs="Times New Roman"/>
                <w:color w:val="000000"/>
                <w:sz w:val="22"/>
              </w:rPr>
            </w:pPr>
            <w:r>
              <w:rPr>
                <w:rFonts w:ascii="宋体" w:hAnsi="宋体" w:eastAsia="宋体" w:cs="Times New Roman"/>
                <w:color w:val="000000"/>
                <w:sz w:val="22"/>
              </w:rPr>
              <w:t>kg PO43-eq</w:t>
            </w:r>
          </w:p>
        </w:tc>
        <w:tc>
          <w:tcPr>
            <w:tcW w:w="1757" w:type="pct"/>
            <w:vAlign w:val="center"/>
          </w:tcPr>
          <w:p w14:paraId="4063E3BF">
            <w:pPr>
              <w:jc w:val="center"/>
              <w:rPr>
                <w:rFonts w:ascii="宋体" w:hAnsi="宋体" w:eastAsia="宋体" w:cs="Times New Roman"/>
                <w:color w:val="000000"/>
                <w:sz w:val="22"/>
              </w:rPr>
            </w:pPr>
            <w:r>
              <w:rPr>
                <w:rFonts w:ascii="宋体" w:hAnsi="宋体" w:eastAsia="宋体" w:cs="Times New Roman"/>
                <w:color w:val="000000"/>
                <w:sz w:val="22"/>
              </w:rPr>
              <w:t>1.5</w:t>
            </w:r>
          </w:p>
        </w:tc>
      </w:tr>
      <w:tr w14:paraId="20B81BE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48" w:type="pct"/>
            <w:vAlign w:val="center"/>
          </w:tcPr>
          <w:p w14:paraId="4C3A8DB2">
            <w:pPr>
              <w:pStyle w:val="14"/>
              <w:ind w:left="0" w:firstLine="0"/>
              <w:jc w:val="center"/>
              <w:rPr>
                <w:rFonts w:eastAsia="宋体"/>
                <w:b w:val="0"/>
                <w:bCs/>
                <w:color w:val="000000"/>
                <w:sz w:val="22"/>
                <w:szCs w:val="22"/>
              </w:rPr>
            </w:pPr>
            <w:r>
              <w:rPr>
                <w:rFonts w:eastAsia="宋体"/>
                <w:b w:val="0"/>
                <w:bCs/>
                <w:color w:val="000000"/>
                <w:sz w:val="22"/>
                <w:szCs w:val="22"/>
              </w:rPr>
              <w:t>RI</w:t>
            </w:r>
          </w:p>
        </w:tc>
        <w:tc>
          <w:tcPr>
            <w:tcW w:w="1195" w:type="pct"/>
            <w:vAlign w:val="center"/>
          </w:tcPr>
          <w:p w14:paraId="373CA5B3">
            <w:pPr>
              <w:jc w:val="center"/>
              <w:rPr>
                <w:rFonts w:ascii="宋体" w:hAnsi="宋体" w:eastAsia="宋体" w:cs="Times New Roman"/>
                <w:color w:val="000000"/>
                <w:sz w:val="22"/>
              </w:rPr>
            </w:pPr>
            <w:r>
              <w:rPr>
                <w:rFonts w:ascii="宋体" w:hAnsi="宋体" w:eastAsia="宋体" w:cs="Times New Roman"/>
                <w:color w:val="000000"/>
                <w:sz w:val="22"/>
              </w:rPr>
              <w:t>kg PM2.5 eq</w:t>
            </w:r>
          </w:p>
        </w:tc>
        <w:tc>
          <w:tcPr>
            <w:tcW w:w="1757" w:type="pct"/>
            <w:vAlign w:val="center"/>
          </w:tcPr>
          <w:p w14:paraId="0FA9A69D">
            <w:pPr>
              <w:jc w:val="center"/>
              <w:rPr>
                <w:rFonts w:ascii="宋体" w:hAnsi="宋体" w:eastAsia="宋体" w:cs="Times New Roman"/>
                <w:color w:val="000000"/>
                <w:sz w:val="22"/>
              </w:rPr>
            </w:pPr>
            <w:r>
              <w:rPr>
                <w:rFonts w:ascii="宋体" w:hAnsi="宋体" w:eastAsia="宋体" w:cs="Times New Roman"/>
                <w:color w:val="000000"/>
                <w:sz w:val="22"/>
              </w:rPr>
              <w:t>2.62</w:t>
            </w:r>
          </w:p>
        </w:tc>
      </w:tr>
      <w:tr w14:paraId="771F051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48" w:type="pct"/>
            <w:vAlign w:val="center"/>
          </w:tcPr>
          <w:p w14:paraId="44A82E9A">
            <w:pPr>
              <w:pStyle w:val="14"/>
              <w:ind w:left="0" w:firstLine="0"/>
              <w:jc w:val="center"/>
              <w:rPr>
                <w:rFonts w:eastAsia="宋体"/>
                <w:b w:val="0"/>
                <w:bCs/>
                <w:color w:val="000000"/>
                <w:sz w:val="22"/>
                <w:szCs w:val="22"/>
              </w:rPr>
            </w:pPr>
            <w:r>
              <w:rPr>
                <w:rFonts w:eastAsia="宋体"/>
                <w:b w:val="0"/>
                <w:bCs/>
                <w:color w:val="000000"/>
                <w:sz w:val="22"/>
                <w:szCs w:val="22"/>
              </w:rPr>
              <w:t>ODP</w:t>
            </w:r>
          </w:p>
        </w:tc>
        <w:tc>
          <w:tcPr>
            <w:tcW w:w="1195" w:type="pct"/>
            <w:vAlign w:val="center"/>
          </w:tcPr>
          <w:p w14:paraId="7EFD1325">
            <w:pPr>
              <w:jc w:val="center"/>
              <w:rPr>
                <w:rFonts w:ascii="宋体" w:hAnsi="宋体" w:eastAsia="宋体" w:cs="Times New Roman"/>
                <w:color w:val="000000"/>
                <w:sz w:val="22"/>
              </w:rPr>
            </w:pPr>
            <w:r>
              <w:rPr>
                <w:rFonts w:ascii="宋体" w:hAnsi="宋体" w:eastAsia="宋体" w:cs="Times New Roman"/>
                <w:color w:val="000000"/>
                <w:sz w:val="22"/>
              </w:rPr>
              <w:t>kg CFC-11 eq</w:t>
            </w:r>
          </w:p>
        </w:tc>
        <w:tc>
          <w:tcPr>
            <w:tcW w:w="1757" w:type="pct"/>
            <w:vAlign w:val="center"/>
          </w:tcPr>
          <w:p w14:paraId="51533C73">
            <w:pPr>
              <w:jc w:val="center"/>
              <w:rPr>
                <w:rFonts w:ascii="宋体" w:hAnsi="宋体" w:eastAsia="宋体" w:cs="Times New Roman"/>
                <w:color w:val="000000"/>
                <w:sz w:val="22"/>
              </w:rPr>
            </w:pPr>
            <w:r>
              <w:rPr>
                <w:rFonts w:ascii="宋体" w:hAnsi="宋体" w:eastAsia="宋体" w:cs="Times New Roman"/>
                <w:color w:val="000000"/>
                <w:sz w:val="22"/>
              </w:rPr>
              <w:t>6.4E-06</w:t>
            </w:r>
          </w:p>
        </w:tc>
      </w:tr>
      <w:tr w14:paraId="3782BE0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48" w:type="pct"/>
            <w:vAlign w:val="center"/>
          </w:tcPr>
          <w:p w14:paraId="07E9C07B">
            <w:pPr>
              <w:pStyle w:val="14"/>
              <w:ind w:left="0" w:firstLine="0"/>
              <w:jc w:val="center"/>
              <w:rPr>
                <w:rFonts w:eastAsia="宋体"/>
                <w:b w:val="0"/>
                <w:bCs/>
                <w:color w:val="000000"/>
                <w:sz w:val="22"/>
                <w:szCs w:val="22"/>
              </w:rPr>
            </w:pPr>
            <w:r>
              <w:rPr>
                <w:rFonts w:eastAsia="宋体"/>
                <w:b w:val="0"/>
                <w:bCs/>
                <w:color w:val="000000"/>
                <w:sz w:val="22"/>
                <w:szCs w:val="22"/>
              </w:rPr>
              <w:t>POFP</w:t>
            </w:r>
          </w:p>
        </w:tc>
        <w:tc>
          <w:tcPr>
            <w:tcW w:w="1195" w:type="pct"/>
            <w:vAlign w:val="center"/>
          </w:tcPr>
          <w:p w14:paraId="784F3966">
            <w:pPr>
              <w:jc w:val="center"/>
              <w:rPr>
                <w:rFonts w:ascii="宋体" w:hAnsi="宋体" w:eastAsia="宋体" w:cs="Times New Roman"/>
                <w:color w:val="000000"/>
                <w:sz w:val="22"/>
              </w:rPr>
            </w:pPr>
            <w:r>
              <w:rPr>
                <w:rFonts w:ascii="宋体" w:hAnsi="宋体" w:eastAsia="宋体" w:cs="Times New Roman"/>
                <w:color w:val="000000"/>
                <w:sz w:val="22"/>
              </w:rPr>
              <w:t>kg NMVOC  eq</w:t>
            </w:r>
          </w:p>
        </w:tc>
        <w:tc>
          <w:tcPr>
            <w:tcW w:w="1757" w:type="pct"/>
            <w:vAlign w:val="center"/>
          </w:tcPr>
          <w:p w14:paraId="45E6312B">
            <w:pPr>
              <w:jc w:val="center"/>
              <w:rPr>
                <w:rFonts w:ascii="宋体" w:hAnsi="宋体" w:eastAsia="宋体" w:cs="Times New Roman"/>
                <w:color w:val="000000"/>
                <w:sz w:val="22"/>
              </w:rPr>
            </w:pPr>
            <w:r>
              <w:rPr>
                <w:rFonts w:ascii="宋体" w:hAnsi="宋体" w:eastAsia="宋体" w:cs="Times New Roman"/>
                <w:color w:val="000000"/>
                <w:sz w:val="22"/>
              </w:rPr>
              <w:t>1.23</w:t>
            </w:r>
          </w:p>
        </w:tc>
      </w:tr>
    </w:tbl>
    <w:p w14:paraId="4E9BE3DF">
      <w:pPr>
        <w:spacing w:line="360" w:lineRule="auto"/>
        <w:rPr>
          <w:rFonts w:ascii="Calibri" w:hAnsi="Calibri" w:eastAsia="宋体" w:cs="Times New Roman"/>
          <w:sz w:val="24"/>
          <w:szCs w:val="24"/>
        </w:rPr>
      </w:pPr>
      <w:r>
        <w:rPr>
          <w:rFonts w:hint="eastAsia" w:ascii="Calibri" w:hAnsi="Calibri" w:eastAsia="宋体" w:cs="Times New Roman"/>
          <w:sz w:val="24"/>
          <w:szCs w:val="24"/>
        </w:rPr>
        <w:t>分析：</w:t>
      </w:r>
    </w:p>
    <w:p w14:paraId="11545936">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相较于玻璃行业普遍认可的碳排放基准范围（</w:t>
      </w:r>
      <w:r>
        <w:rPr>
          <w:rFonts w:ascii="Times New Roman" w:hAnsi="Times New Roman" w:eastAsia="宋体" w:cs="Times New Roman"/>
          <w:sz w:val="24"/>
          <w:szCs w:val="24"/>
        </w:rPr>
        <w:t>3000 - 5000 kg/m³</w:t>
      </w:r>
      <w:r>
        <w:rPr>
          <w:rFonts w:hint="eastAsia" w:ascii="Calibri" w:hAnsi="Calibri" w:eastAsia="宋体" w:cs="Times New Roman"/>
          <w:sz w:val="24"/>
          <w:szCs w:val="24"/>
        </w:rPr>
        <w:t>），我们本批次/当前生产的玻璃产品的实测碳排放因子（约</w:t>
      </w:r>
      <w:r>
        <w:rPr>
          <w:rFonts w:hint="eastAsia" w:ascii="Times New Roman" w:hAnsi="Times New Roman" w:cs="Times New Roman"/>
          <w:sz w:val="24"/>
          <w:szCs w:val="24"/>
        </w:rPr>
        <w:t>4984.2</w:t>
      </w:r>
      <w:r>
        <w:rPr>
          <w:rFonts w:ascii="Times New Roman" w:hAnsi="Times New Roman" w:eastAsia="宋体" w:cs="Times New Roman"/>
          <w:sz w:val="24"/>
          <w:szCs w:val="24"/>
        </w:rPr>
        <w:t xml:space="preserve"> kg/m³</w:t>
      </w:r>
      <w:r>
        <w:rPr>
          <w:rFonts w:hint="eastAsia" w:ascii="Calibri" w:hAnsi="Calibri" w:eastAsia="宋体" w:cs="Times New Roman"/>
          <w:sz w:val="24"/>
          <w:szCs w:val="24"/>
        </w:rPr>
        <w:t>）</w:t>
      </w:r>
      <w:r>
        <w:rPr>
          <w:rFonts w:hint="eastAsia" w:cs="Times New Roman"/>
          <w:sz w:val="24"/>
          <w:szCs w:val="24"/>
        </w:rPr>
        <w:t>，</w:t>
      </w:r>
      <w:r>
        <w:rPr>
          <w:rFonts w:hint="eastAsia" w:ascii="Calibri" w:hAnsi="Calibri" w:eastAsia="宋体" w:cs="Times New Roman"/>
          <w:sz w:val="24"/>
          <w:szCs w:val="24"/>
        </w:rPr>
        <w:t>略低于</w:t>
      </w:r>
      <w:r>
        <w:rPr>
          <w:rFonts w:hint="eastAsia" w:cs="Times New Roman"/>
          <w:sz w:val="24"/>
          <w:szCs w:val="24"/>
        </w:rPr>
        <w:t>行业范围值</w:t>
      </w:r>
      <w:r>
        <w:rPr>
          <w:rFonts w:hint="eastAsia" w:ascii="Calibri" w:hAnsi="Calibri" w:eastAsia="宋体" w:cs="Times New Roman"/>
          <w:sz w:val="24"/>
          <w:szCs w:val="24"/>
        </w:rPr>
        <w:t>。这一结果主要归因于生产过程中能效提升、能源结构优化（如可能使用更多绿电）以及原料运输或配方的改进。总体表明当前生产碳排放表现良好，若进一步</w:t>
      </w:r>
      <w:r>
        <w:rPr>
          <w:rFonts w:hint="eastAsia" w:cs="Times New Roman"/>
          <w:sz w:val="24"/>
          <w:szCs w:val="24"/>
        </w:rPr>
        <w:t>保证数据的准确性，</w:t>
      </w:r>
      <w:r>
        <w:rPr>
          <w:rFonts w:hint="eastAsia" w:ascii="Calibri" w:hAnsi="Calibri" w:eastAsia="宋体" w:cs="Times New Roman"/>
          <w:sz w:val="24"/>
          <w:szCs w:val="24"/>
        </w:rPr>
        <w:t>则</w:t>
      </w:r>
      <w:r>
        <w:rPr>
          <w:rFonts w:hint="eastAsia" w:cs="Times New Roman"/>
          <w:sz w:val="24"/>
          <w:szCs w:val="24"/>
        </w:rPr>
        <w:t>可进一步</w:t>
      </w:r>
      <w:r>
        <w:rPr>
          <w:rFonts w:hint="eastAsia" w:ascii="Calibri" w:hAnsi="Calibri" w:eastAsia="宋体" w:cs="Times New Roman"/>
          <w:sz w:val="24"/>
          <w:szCs w:val="24"/>
        </w:rPr>
        <w:t>证实减排措施已初见成效。</w:t>
      </w:r>
    </w:p>
    <w:p w14:paraId="2458671D">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微晶玻璃的生产流程可划分为四个关键阶段：</w:t>
      </w:r>
      <w:r>
        <w:rPr>
          <w:rFonts w:ascii="Times New Roman" w:hAnsi="Times New Roman" w:eastAsia="宋体" w:cs="Times New Roman"/>
          <w:sz w:val="24"/>
          <w:szCs w:val="24"/>
        </w:rPr>
        <w:t>煤矸石粉磨</w:t>
      </w:r>
      <w:r>
        <w:rPr>
          <w:rFonts w:hint="eastAsia" w:ascii="Times New Roman" w:hAnsi="Times New Roman" w:cs="Times New Roman"/>
          <w:sz w:val="24"/>
          <w:szCs w:val="24"/>
        </w:rPr>
        <w:t>+</w:t>
      </w:r>
      <w:r>
        <w:rPr>
          <w:rFonts w:ascii="Times New Roman" w:hAnsi="Times New Roman" w:eastAsia="宋体" w:cs="Times New Roman"/>
          <w:sz w:val="24"/>
          <w:szCs w:val="24"/>
        </w:rPr>
        <w:t>原料投入+电炉熔化（含压延成型）</w:t>
      </w:r>
      <w:r>
        <w:rPr>
          <w:rFonts w:hint="eastAsia" w:ascii="Calibri" w:hAnsi="Calibri" w:eastAsia="宋体" w:cs="Times New Roman"/>
          <w:sz w:val="24"/>
          <w:szCs w:val="24"/>
        </w:rPr>
        <w:t>、晶火退化及切割成型阶段。每个阶段对碳排放的贡献率差异显著，具体如下表。</w:t>
      </w:r>
    </w:p>
    <w:p w14:paraId="6A3C6A3C">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表3.1-2微晶玻璃生产各阶段碳排放特征对比</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4"/>
        <w:gridCol w:w="2025"/>
        <w:gridCol w:w="1990"/>
        <w:gridCol w:w="2193"/>
      </w:tblGrid>
      <w:tr w14:paraId="0333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4" w:type="dxa"/>
            <w:vAlign w:val="center"/>
          </w:tcPr>
          <w:p w14:paraId="6039BD43">
            <w:pPr>
              <w:jc w:val="center"/>
              <w:rPr>
                <w:rFonts w:ascii="Times New Roman" w:hAnsi="Times New Roman" w:eastAsia="宋体" w:cs="Times New Roman"/>
                <w:sz w:val="22"/>
              </w:rPr>
            </w:pPr>
            <w:r>
              <w:rPr>
                <w:rFonts w:ascii="Times New Roman" w:hAnsi="Times New Roman" w:eastAsia="宋体" w:cs="Times New Roman"/>
                <w:sz w:val="22"/>
              </w:rPr>
              <w:t>生产阶段</w:t>
            </w:r>
          </w:p>
        </w:tc>
        <w:tc>
          <w:tcPr>
            <w:tcW w:w="2025" w:type="dxa"/>
            <w:vAlign w:val="center"/>
          </w:tcPr>
          <w:p w14:paraId="24681372">
            <w:pPr>
              <w:jc w:val="center"/>
              <w:rPr>
                <w:rFonts w:ascii="Times New Roman" w:hAnsi="Times New Roman" w:eastAsia="宋体" w:cs="Times New Roman"/>
                <w:sz w:val="22"/>
              </w:rPr>
            </w:pPr>
            <w:r>
              <w:rPr>
                <w:rFonts w:ascii="Times New Roman" w:hAnsi="Times New Roman" w:eastAsia="宋体" w:cs="Times New Roman"/>
                <w:sz w:val="22"/>
              </w:rPr>
              <w:t>主要碳排放源</w:t>
            </w:r>
          </w:p>
        </w:tc>
        <w:tc>
          <w:tcPr>
            <w:tcW w:w="1990" w:type="dxa"/>
          </w:tcPr>
          <w:p w14:paraId="27E28A24">
            <w:pPr>
              <w:jc w:val="center"/>
              <w:rPr>
                <w:rFonts w:ascii="Times New Roman" w:hAnsi="Times New Roman" w:eastAsia="宋体" w:cs="Times New Roman"/>
                <w:sz w:val="22"/>
              </w:rPr>
            </w:pPr>
            <w:r>
              <w:rPr>
                <w:rFonts w:ascii="Times New Roman" w:hAnsi="Times New Roman" w:eastAsia="宋体" w:cs="Times New Roman"/>
                <w:sz w:val="22"/>
              </w:rPr>
              <w:t>贡献率</w:t>
            </w:r>
            <w:r>
              <w:rPr>
                <w:rFonts w:hint="eastAsia" w:ascii="Times New Roman" w:hAnsi="Times New Roman" w:cs="Times New Roman"/>
                <w:sz w:val="22"/>
              </w:rPr>
              <w:t>（%）</w:t>
            </w:r>
          </w:p>
        </w:tc>
        <w:tc>
          <w:tcPr>
            <w:tcW w:w="2193" w:type="dxa"/>
            <w:vAlign w:val="center"/>
          </w:tcPr>
          <w:p w14:paraId="06E64581">
            <w:pPr>
              <w:jc w:val="center"/>
              <w:rPr>
                <w:rFonts w:ascii="Times New Roman" w:hAnsi="Times New Roman" w:eastAsia="宋体" w:cs="Times New Roman"/>
                <w:sz w:val="22"/>
              </w:rPr>
            </w:pPr>
            <w:r>
              <w:rPr>
                <w:rFonts w:hint="eastAsia" w:ascii="Times New Roman" w:hAnsi="Times New Roman" w:eastAsia="宋体" w:cs="Times New Roman"/>
                <w:sz w:val="22"/>
              </w:rPr>
              <w:t>总</w:t>
            </w:r>
            <w:r>
              <w:rPr>
                <w:rFonts w:ascii="Times New Roman" w:hAnsi="Times New Roman" w:eastAsia="宋体" w:cs="Times New Roman"/>
                <w:sz w:val="22"/>
              </w:rPr>
              <w:t>贡献率</w:t>
            </w:r>
            <w:r>
              <w:rPr>
                <w:rFonts w:hint="eastAsia" w:ascii="Times New Roman" w:hAnsi="Times New Roman" w:cs="Times New Roman"/>
                <w:sz w:val="22"/>
              </w:rPr>
              <w:t>（%）</w:t>
            </w:r>
          </w:p>
        </w:tc>
      </w:tr>
      <w:tr w14:paraId="15F76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4" w:type="dxa"/>
            <w:vMerge w:val="restart"/>
            <w:vAlign w:val="center"/>
          </w:tcPr>
          <w:p w14:paraId="521CA344">
            <w:pPr>
              <w:jc w:val="center"/>
              <w:rPr>
                <w:rFonts w:ascii="Times New Roman" w:hAnsi="Times New Roman" w:eastAsia="宋体" w:cs="Times New Roman"/>
                <w:sz w:val="22"/>
              </w:rPr>
            </w:pPr>
            <w:r>
              <w:rPr>
                <w:rFonts w:ascii="Times New Roman" w:hAnsi="Times New Roman" w:eastAsia="宋体" w:cs="Times New Roman"/>
                <w:sz w:val="22"/>
              </w:rPr>
              <w:t>煤矸石粉磨</w:t>
            </w:r>
            <w:r>
              <w:rPr>
                <w:rFonts w:hint="eastAsia" w:ascii="Times New Roman" w:hAnsi="Times New Roman" w:cs="Times New Roman"/>
                <w:sz w:val="22"/>
              </w:rPr>
              <w:t>+</w:t>
            </w:r>
            <w:r>
              <w:rPr>
                <w:rFonts w:ascii="Times New Roman" w:hAnsi="Times New Roman" w:eastAsia="宋体" w:cs="Times New Roman"/>
                <w:sz w:val="22"/>
              </w:rPr>
              <w:t>原料投入+电炉熔化</w:t>
            </w:r>
          </w:p>
        </w:tc>
        <w:tc>
          <w:tcPr>
            <w:tcW w:w="2025" w:type="dxa"/>
            <w:vAlign w:val="center"/>
          </w:tcPr>
          <w:p w14:paraId="1895A96C">
            <w:pPr>
              <w:jc w:val="center"/>
              <w:rPr>
                <w:rFonts w:ascii="Times New Roman" w:hAnsi="Times New Roman" w:eastAsia="宋体" w:cs="Times New Roman"/>
                <w:sz w:val="22"/>
              </w:rPr>
            </w:pPr>
            <w:r>
              <w:rPr>
                <w:rFonts w:hint="eastAsia" w:ascii="Times New Roman" w:hAnsi="Times New Roman" w:eastAsia="宋体" w:cs="Times New Roman"/>
                <w:sz w:val="22"/>
              </w:rPr>
              <w:t>电力</w:t>
            </w:r>
          </w:p>
        </w:tc>
        <w:tc>
          <w:tcPr>
            <w:tcW w:w="1990" w:type="dxa"/>
          </w:tcPr>
          <w:p w14:paraId="17E96E46">
            <w:pPr>
              <w:jc w:val="center"/>
              <w:rPr>
                <w:rFonts w:ascii="Times New Roman" w:hAnsi="Times New Roman" w:eastAsia="宋体" w:cs="Times New Roman"/>
                <w:sz w:val="22"/>
              </w:rPr>
            </w:pPr>
            <w:r>
              <w:rPr>
                <w:rFonts w:hint="eastAsia" w:ascii="Times New Roman" w:hAnsi="Times New Roman" w:cs="Times New Roman"/>
                <w:sz w:val="22"/>
              </w:rPr>
              <w:t>34.74%</w:t>
            </w:r>
          </w:p>
        </w:tc>
        <w:tc>
          <w:tcPr>
            <w:tcW w:w="2193" w:type="dxa"/>
            <w:vMerge w:val="restart"/>
            <w:vAlign w:val="center"/>
          </w:tcPr>
          <w:p w14:paraId="6CF357D1">
            <w:pPr>
              <w:jc w:val="center"/>
              <w:rPr>
                <w:rFonts w:ascii="Times New Roman" w:hAnsi="Times New Roman" w:eastAsia="宋体" w:cs="Times New Roman"/>
                <w:sz w:val="22"/>
              </w:rPr>
            </w:pPr>
            <w:r>
              <w:rPr>
                <w:rFonts w:hint="eastAsia" w:ascii="Times New Roman" w:hAnsi="Times New Roman" w:cs="Times New Roman"/>
                <w:sz w:val="22"/>
              </w:rPr>
              <w:t>67.05%</w:t>
            </w:r>
          </w:p>
        </w:tc>
      </w:tr>
      <w:tr w14:paraId="7DAE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4" w:type="dxa"/>
            <w:vMerge w:val="continue"/>
            <w:vAlign w:val="center"/>
          </w:tcPr>
          <w:p w14:paraId="2B9310EE">
            <w:pPr>
              <w:jc w:val="center"/>
              <w:rPr>
                <w:rFonts w:ascii="Times New Roman" w:hAnsi="Times New Roman" w:eastAsia="宋体" w:cs="Times New Roman"/>
                <w:sz w:val="22"/>
              </w:rPr>
            </w:pPr>
          </w:p>
        </w:tc>
        <w:tc>
          <w:tcPr>
            <w:tcW w:w="2025" w:type="dxa"/>
            <w:vAlign w:val="center"/>
          </w:tcPr>
          <w:p w14:paraId="6B07233C">
            <w:pPr>
              <w:jc w:val="center"/>
              <w:rPr>
                <w:rFonts w:ascii="Times New Roman" w:hAnsi="Times New Roman" w:eastAsia="宋体" w:cs="Times New Roman"/>
                <w:sz w:val="22"/>
              </w:rPr>
            </w:pPr>
            <w:r>
              <w:rPr>
                <w:rFonts w:hint="eastAsia" w:ascii="Times New Roman" w:hAnsi="Times New Roman" w:eastAsia="宋体" w:cs="Times New Roman"/>
                <w:sz w:val="22"/>
              </w:rPr>
              <w:t>天然气</w:t>
            </w:r>
          </w:p>
        </w:tc>
        <w:tc>
          <w:tcPr>
            <w:tcW w:w="1990" w:type="dxa"/>
          </w:tcPr>
          <w:p w14:paraId="1C33371E">
            <w:pPr>
              <w:jc w:val="center"/>
              <w:rPr>
                <w:rFonts w:ascii="Times New Roman" w:hAnsi="Times New Roman" w:eastAsia="宋体" w:cs="Times New Roman"/>
                <w:sz w:val="22"/>
              </w:rPr>
            </w:pPr>
            <w:r>
              <w:rPr>
                <w:rFonts w:hint="eastAsia" w:ascii="Times New Roman" w:hAnsi="Times New Roman" w:cs="Times New Roman"/>
                <w:sz w:val="22"/>
              </w:rPr>
              <w:t>0.08%</w:t>
            </w:r>
          </w:p>
        </w:tc>
        <w:tc>
          <w:tcPr>
            <w:tcW w:w="2193" w:type="dxa"/>
            <w:vMerge w:val="continue"/>
            <w:vAlign w:val="center"/>
          </w:tcPr>
          <w:p w14:paraId="703A47EA">
            <w:pPr>
              <w:jc w:val="center"/>
              <w:rPr>
                <w:rFonts w:ascii="Times New Roman" w:hAnsi="Times New Roman" w:eastAsia="宋体" w:cs="Times New Roman"/>
                <w:sz w:val="22"/>
              </w:rPr>
            </w:pPr>
          </w:p>
        </w:tc>
      </w:tr>
      <w:tr w14:paraId="679F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4" w:type="dxa"/>
            <w:vMerge w:val="continue"/>
            <w:vAlign w:val="center"/>
          </w:tcPr>
          <w:p w14:paraId="58221697">
            <w:pPr>
              <w:jc w:val="center"/>
              <w:rPr>
                <w:rFonts w:ascii="Times New Roman" w:hAnsi="Times New Roman" w:eastAsia="宋体" w:cs="Times New Roman"/>
                <w:sz w:val="22"/>
              </w:rPr>
            </w:pPr>
          </w:p>
        </w:tc>
        <w:tc>
          <w:tcPr>
            <w:tcW w:w="2025" w:type="dxa"/>
            <w:vAlign w:val="center"/>
          </w:tcPr>
          <w:p w14:paraId="6EBBB260">
            <w:pPr>
              <w:jc w:val="center"/>
              <w:rPr>
                <w:rFonts w:ascii="Times New Roman" w:hAnsi="Times New Roman" w:eastAsia="宋体" w:cs="Times New Roman"/>
                <w:sz w:val="22"/>
              </w:rPr>
            </w:pPr>
            <w:r>
              <w:rPr>
                <w:rFonts w:hint="eastAsia" w:ascii="Times New Roman" w:hAnsi="Times New Roman" w:eastAsia="宋体" w:cs="Times New Roman"/>
                <w:sz w:val="22"/>
              </w:rPr>
              <w:t>原料生产</w:t>
            </w:r>
          </w:p>
        </w:tc>
        <w:tc>
          <w:tcPr>
            <w:tcW w:w="1990" w:type="dxa"/>
          </w:tcPr>
          <w:p w14:paraId="1FD865F3">
            <w:pPr>
              <w:jc w:val="center"/>
              <w:rPr>
                <w:rFonts w:ascii="Times New Roman" w:hAnsi="Times New Roman" w:eastAsia="宋体" w:cs="Times New Roman"/>
                <w:sz w:val="22"/>
              </w:rPr>
            </w:pPr>
            <w:r>
              <w:rPr>
                <w:rFonts w:hint="eastAsia" w:ascii="Times New Roman" w:hAnsi="Times New Roman" w:cs="Times New Roman"/>
                <w:sz w:val="22"/>
              </w:rPr>
              <w:t>27.09%</w:t>
            </w:r>
          </w:p>
        </w:tc>
        <w:tc>
          <w:tcPr>
            <w:tcW w:w="2193" w:type="dxa"/>
            <w:vMerge w:val="continue"/>
            <w:vAlign w:val="center"/>
          </w:tcPr>
          <w:p w14:paraId="2FAD8AD1">
            <w:pPr>
              <w:jc w:val="center"/>
              <w:rPr>
                <w:rFonts w:ascii="Times New Roman" w:hAnsi="Times New Roman" w:eastAsia="宋体" w:cs="Times New Roman"/>
                <w:sz w:val="22"/>
              </w:rPr>
            </w:pPr>
          </w:p>
        </w:tc>
      </w:tr>
      <w:tr w14:paraId="78A5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4" w:type="dxa"/>
            <w:vMerge w:val="continue"/>
            <w:vAlign w:val="center"/>
          </w:tcPr>
          <w:p w14:paraId="6810D73F">
            <w:pPr>
              <w:jc w:val="center"/>
              <w:rPr>
                <w:rFonts w:ascii="Times New Roman" w:hAnsi="Times New Roman" w:eastAsia="宋体" w:cs="Times New Roman"/>
                <w:sz w:val="22"/>
              </w:rPr>
            </w:pPr>
          </w:p>
        </w:tc>
        <w:tc>
          <w:tcPr>
            <w:tcW w:w="2025" w:type="dxa"/>
            <w:vAlign w:val="center"/>
          </w:tcPr>
          <w:p w14:paraId="039CDC41">
            <w:pPr>
              <w:jc w:val="center"/>
              <w:rPr>
                <w:rFonts w:ascii="Times New Roman" w:hAnsi="Times New Roman" w:eastAsia="宋体" w:cs="Times New Roman"/>
                <w:sz w:val="22"/>
              </w:rPr>
            </w:pPr>
            <w:r>
              <w:rPr>
                <w:rFonts w:hint="eastAsia" w:ascii="Times New Roman" w:hAnsi="Times New Roman" w:eastAsia="宋体" w:cs="Times New Roman"/>
                <w:sz w:val="22"/>
              </w:rPr>
              <w:t>材料运输</w:t>
            </w:r>
          </w:p>
        </w:tc>
        <w:tc>
          <w:tcPr>
            <w:tcW w:w="1990" w:type="dxa"/>
          </w:tcPr>
          <w:p w14:paraId="5C2FD44C">
            <w:pPr>
              <w:jc w:val="center"/>
              <w:rPr>
                <w:rFonts w:ascii="Times New Roman" w:hAnsi="Times New Roman" w:eastAsia="宋体" w:cs="Times New Roman"/>
                <w:sz w:val="22"/>
              </w:rPr>
            </w:pPr>
            <w:r>
              <w:rPr>
                <w:rFonts w:hint="eastAsia" w:ascii="Times New Roman" w:hAnsi="Times New Roman" w:cs="Times New Roman"/>
                <w:sz w:val="22"/>
              </w:rPr>
              <w:t>2.09%</w:t>
            </w:r>
          </w:p>
        </w:tc>
        <w:tc>
          <w:tcPr>
            <w:tcW w:w="2193" w:type="dxa"/>
            <w:vMerge w:val="continue"/>
            <w:vAlign w:val="center"/>
          </w:tcPr>
          <w:p w14:paraId="1BC3933C">
            <w:pPr>
              <w:jc w:val="center"/>
              <w:rPr>
                <w:rFonts w:ascii="Times New Roman" w:hAnsi="Times New Roman" w:eastAsia="宋体" w:cs="Times New Roman"/>
                <w:sz w:val="22"/>
              </w:rPr>
            </w:pPr>
          </w:p>
        </w:tc>
      </w:tr>
      <w:tr w14:paraId="34DC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4" w:type="dxa"/>
            <w:vMerge w:val="continue"/>
            <w:vAlign w:val="center"/>
          </w:tcPr>
          <w:p w14:paraId="6B54D610">
            <w:pPr>
              <w:jc w:val="center"/>
              <w:rPr>
                <w:rFonts w:ascii="Times New Roman" w:hAnsi="Times New Roman" w:eastAsia="宋体" w:cs="Times New Roman"/>
                <w:sz w:val="22"/>
              </w:rPr>
            </w:pPr>
          </w:p>
        </w:tc>
        <w:tc>
          <w:tcPr>
            <w:tcW w:w="2025" w:type="dxa"/>
            <w:vAlign w:val="center"/>
          </w:tcPr>
          <w:p w14:paraId="48CA1543">
            <w:pPr>
              <w:jc w:val="center"/>
              <w:rPr>
                <w:rFonts w:ascii="Times New Roman" w:hAnsi="Times New Roman" w:eastAsia="宋体" w:cs="Times New Roman"/>
                <w:sz w:val="22"/>
              </w:rPr>
            </w:pPr>
            <w:r>
              <w:rPr>
                <w:rFonts w:hint="eastAsia" w:ascii="Times New Roman" w:hAnsi="Times New Roman" w:cs="Times New Roman"/>
                <w:sz w:val="22"/>
              </w:rPr>
              <w:t>柴油</w:t>
            </w:r>
          </w:p>
        </w:tc>
        <w:tc>
          <w:tcPr>
            <w:tcW w:w="1990" w:type="dxa"/>
          </w:tcPr>
          <w:p w14:paraId="5FACD6B9">
            <w:pPr>
              <w:jc w:val="center"/>
              <w:rPr>
                <w:rFonts w:ascii="Times New Roman" w:hAnsi="Times New Roman" w:eastAsia="宋体" w:cs="Times New Roman"/>
                <w:sz w:val="22"/>
              </w:rPr>
            </w:pPr>
            <w:r>
              <w:rPr>
                <w:rFonts w:hint="eastAsia" w:ascii="Times New Roman" w:hAnsi="Times New Roman" w:cs="Times New Roman"/>
                <w:sz w:val="22"/>
              </w:rPr>
              <w:t>0.05%</w:t>
            </w:r>
          </w:p>
        </w:tc>
        <w:tc>
          <w:tcPr>
            <w:tcW w:w="2193" w:type="dxa"/>
            <w:vMerge w:val="continue"/>
            <w:vAlign w:val="center"/>
          </w:tcPr>
          <w:p w14:paraId="66317B56">
            <w:pPr>
              <w:jc w:val="center"/>
              <w:rPr>
                <w:rFonts w:ascii="Times New Roman" w:hAnsi="Times New Roman" w:eastAsia="宋体" w:cs="Times New Roman"/>
                <w:sz w:val="22"/>
              </w:rPr>
            </w:pPr>
          </w:p>
        </w:tc>
      </w:tr>
      <w:tr w14:paraId="0003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4" w:type="dxa"/>
            <w:vMerge w:val="restart"/>
            <w:vAlign w:val="center"/>
          </w:tcPr>
          <w:p w14:paraId="681F64A5">
            <w:pPr>
              <w:jc w:val="center"/>
              <w:rPr>
                <w:rFonts w:ascii="Times New Roman" w:hAnsi="Times New Roman" w:eastAsia="宋体" w:cs="Times New Roman"/>
                <w:sz w:val="22"/>
              </w:rPr>
            </w:pPr>
            <w:r>
              <w:rPr>
                <w:rFonts w:ascii="Times New Roman" w:hAnsi="Times New Roman" w:eastAsia="宋体" w:cs="Times New Roman"/>
                <w:sz w:val="22"/>
              </w:rPr>
              <w:t>压延成型</w:t>
            </w:r>
          </w:p>
        </w:tc>
        <w:tc>
          <w:tcPr>
            <w:tcW w:w="2025" w:type="dxa"/>
            <w:vAlign w:val="center"/>
          </w:tcPr>
          <w:p w14:paraId="508A8862">
            <w:pPr>
              <w:jc w:val="center"/>
              <w:rPr>
                <w:rFonts w:ascii="Times New Roman" w:hAnsi="Times New Roman" w:eastAsia="宋体" w:cs="Times New Roman"/>
                <w:sz w:val="22"/>
              </w:rPr>
            </w:pPr>
            <w:r>
              <w:rPr>
                <w:rFonts w:hint="eastAsia" w:ascii="Times New Roman" w:hAnsi="Times New Roman" w:eastAsia="宋体" w:cs="Times New Roman"/>
                <w:sz w:val="22"/>
              </w:rPr>
              <w:t>电力</w:t>
            </w:r>
          </w:p>
        </w:tc>
        <w:tc>
          <w:tcPr>
            <w:tcW w:w="1990" w:type="dxa"/>
          </w:tcPr>
          <w:p w14:paraId="2EDCAB3C">
            <w:pPr>
              <w:jc w:val="center"/>
              <w:rPr>
                <w:rFonts w:ascii="Times New Roman" w:hAnsi="Times New Roman" w:eastAsia="宋体" w:cs="Times New Roman"/>
                <w:sz w:val="22"/>
              </w:rPr>
            </w:pPr>
            <w:r>
              <w:rPr>
                <w:rFonts w:hint="eastAsia" w:ascii="Times New Roman" w:hAnsi="Times New Roman" w:cs="Times New Roman"/>
                <w:sz w:val="22"/>
              </w:rPr>
              <w:t>0.08%</w:t>
            </w:r>
          </w:p>
        </w:tc>
        <w:tc>
          <w:tcPr>
            <w:tcW w:w="2193" w:type="dxa"/>
            <w:vMerge w:val="restart"/>
            <w:vAlign w:val="center"/>
          </w:tcPr>
          <w:p w14:paraId="4135C490">
            <w:pPr>
              <w:jc w:val="center"/>
              <w:rPr>
                <w:rFonts w:ascii="Times New Roman" w:hAnsi="Times New Roman" w:eastAsia="宋体" w:cs="Times New Roman"/>
                <w:sz w:val="22"/>
              </w:rPr>
            </w:pPr>
            <w:r>
              <w:rPr>
                <w:rFonts w:hint="eastAsia" w:ascii="Times New Roman" w:hAnsi="Times New Roman" w:cs="Times New Roman"/>
                <w:sz w:val="22"/>
              </w:rPr>
              <w:t>0.09%</w:t>
            </w:r>
          </w:p>
        </w:tc>
      </w:tr>
      <w:tr w14:paraId="1C90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4" w:type="dxa"/>
            <w:vMerge w:val="continue"/>
            <w:vAlign w:val="center"/>
          </w:tcPr>
          <w:p w14:paraId="65597668">
            <w:pPr>
              <w:jc w:val="center"/>
              <w:rPr>
                <w:rFonts w:ascii="Times New Roman" w:hAnsi="Times New Roman" w:eastAsia="宋体" w:cs="Times New Roman"/>
                <w:sz w:val="22"/>
              </w:rPr>
            </w:pPr>
          </w:p>
        </w:tc>
        <w:tc>
          <w:tcPr>
            <w:tcW w:w="2025" w:type="dxa"/>
            <w:vAlign w:val="center"/>
          </w:tcPr>
          <w:p w14:paraId="47AA603E">
            <w:pPr>
              <w:jc w:val="center"/>
              <w:rPr>
                <w:rFonts w:ascii="Times New Roman" w:hAnsi="Times New Roman" w:eastAsia="宋体" w:cs="Times New Roman"/>
                <w:sz w:val="22"/>
              </w:rPr>
            </w:pPr>
            <w:r>
              <w:rPr>
                <w:rFonts w:hint="eastAsia" w:ascii="Times New Roman" w:hAnsi="Times New Roman" w:cs="Times New Roman"/>
                <w:sz w:val="22"/>
              </w:rPr>
              <w:t>天然气</w:t>
            </w:r>
          </w:p>
        </w:tc>
        <w:tc>
          <w:tcPr>
            <w:tcW w:w="1990" w:type="dxa"/>
          </w:tcPr>
          <w:p w14:paraId="4490822D">
            <w:pPr>
              <w:jc w:val="center"/>
              <w:rPr>
                <w:rFonts w:ascii="Times New Roman" w:hAnsi="Times New Roman" w:eastAsia="宋体" w:cs="Times New Roman"/>
                <w:sz w:val="22"/>
              </w:rPr>
            </w:pPr>
            <w:r>
              <w:rPr>
                <w:rFonts w:hint="eastAsia" w:ascii="Times New Roman" w:hAnsi="Times New Roman" w:cs="Times New Roman"/>
                <w:sz w:val="22"/>
              </w:rPr>
              <w:t>0.01%</w:t>
            </w:r>
          </w:p>
        </w:tc>
        <w:tc>
          <w:tcPr>
            <w:tcW w:w="2193" w:type="dxa"/>
            <w:vMerge w:val="continue"/>
            <w:vAlign w:val="center"/>
          </w:tcPr>
          <w:p w14:paraId="45C63CCA">
            <w:pPr>
              <w:jc w:val="center"/>
              <w:rPr>
                <w:rFonts w:ascii="Times New Roman" w:hAnsi="Times New Roman" w:eastAsia="宋体" w:cs="Times New Roman"/>
                <w:sz w:val="22"/>
              </w:rPr>
            </w:pPr>
          </w:p>
        </w:tc>
      </w:tr>
      <w:tr w14:paraId="3155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4" w:type="dxa"/>
            <w:vAlign w:val="center"/>
          </w:tcPr>
          <w:p w14:paraId="37FB6876">
            <w:pPr>
              <w:jc w:val="center"/>
              <w:rPr>
                <w:rFonts w:ascii="Times New Roman" w:hAnsi="Times New Roman" w:eastAsia="宋体" w:cs="Times New Roman"/>
                <w:sz w:val="22"/>
              </w:rPr>
            </w:pPr>
            <w:r>
              <w:rPr>
                <w:rFonts w:ascii="Times New Roman" w:hAnsi="Times New Roman" w:eastAsia="宋体" w:cs="Times New Roman"/>
                <w:sz w:val="22"/>
              </w:rPr>
              <w:t>退火晶化</w:t>
            </w:r>
            <w:r>
              <w:rPr>
                <w:rFonts w:hint="eastAsia" w:ascii="Times New Roman" w:hAnsi="Times New Roman" w:cs="Times New Roman"/>
                <w:sz w:val="22"/>
              </w:rPr>
              <w:t>+</w:t>
            </w:r>
            <w:r>
              <w:rPr>
                <w:rFonts w:ascii="Times New Roman" w:hAnsi="Times New Roman" w:eastAsia="宋体" w:cs="Times New Roman"/>
                <w:sz w:val="22"/>
              </w:rPr>
              <w:t>切割成型</w:t>
            </w:r>
          </w:p>
        </w:tc>
        <w:tc>
          <w:tcPr>
            <w:tcW w:w="2025" w:type="dxa"/>
            <w:vAlign w:val="center"/>
          </w:tcPr>
          <w:p w14:paraId="1EB7D930">
            <w:pPr>
              <w:jc w:val="center"/>
              <w:rPr>
                <w:rFonts w:ascii="Times New Roman" w:hAnsi="Times New Roman" w:eastAsia="宋体" w:cs="Times New Roman"/>
                <w:sz w:val="22"/>
              </w:rPr>
            </w:pPr>
            <w:r>
              <w:rPr>
                <w:rFonts w:hint="eastAsia" w:ascii="Times New Roman" w:hAnsi="Times New Roman" w:eastAsia="宋体" w:cs="Times New Roman"/>
                <w:sz w:val="22"/>
              </w:rPr>
              <w:t>电力</w:t>
            </w:r>
          </w:p>
        </w:tc>
        <w:tc>
          <w:tcPr>
            <w:tcW w:w="1990" w:type="dxa"/>
            <w:vAlign w:val="center"/>
          </w:tcPr>
          <w:p w14:paraId="62E00516">
            <w:pPr>
              <w:jc w:val="center"/>
              <w:rPr>
                <w:rFonts w:ascii="Times New Roman" w:hAnsi="Times New Roman" w:eastAsia="宋体" w:cs="Times New Roman"/>
                <w:sz w:val="22"/>
              </w:rPr>
            </w:pPr>
            <w:r>
              <w:rPr>
                <w:rFonts w:hint="eastAsia" w:ascii="Times New Roman" w:hAnsi="Times New Roman" w:cs="Times New Roman"/>
                <w:sz w:val="22"/>
              </w:rPr>
              <w:t>35.87%</w:t>
            </w:r>
          </w:p>
        </w:tc>
        <w:tc>
          <w:tcPr>
            <w:tcW w:w="2193" w:type="dxa"/>
            <w:vAlign w:val="center"/>
          </w:tcPr>
          <w:p w14:paraId="5AA54ED9">
            <w:pPr>
              <w:jc w:val="center"/>
              <w:rPr>
                <w:rFonts w:ascii="Times New Roman" w:hAnsi="Times New Roman" w:eastAsia="宋体" w:cs="Times New Roman"/>
                <w:sz w:val="22"/>
              </w:rPr>
            </w:pPr>
            <w:r>
              <w:rPr>
                <w:rFonts w:hint="eastAsia" w:ascii="Times New Roman" w:hAnsi="Times New Roman" w:cs="Times New Roman"/>
                <w:sz w:val="22"/>
              </w:rPr>
              <w:t>35.87</w:t>
            </w:r>
            <w:r>
              <w:rPr>
                <w:rFonts w:ascii="Times New Roman" w:hAnsi="Times New Roman" w:eastAsia="宋体" w:cs="Times New Roman"/>
                <w:sz w:val="22"/>
              </w:rPr>
              <w:t>%</w:t>
            </w:r>
          </w:p>
        </w:tc>
      </w:tr>
    </w:tbl>
    <w:p w14:paraId="786B3BB5">
      <w:pPr>
        <w:spacing w:line="360" w:lineRule="auto"/>
        <w:rPr>
          <w:rFonts w:ascii="Calibri" w:hAnsi="Calibri" w:eastAsia="宋体" w:cs="Times New Roman"/>
          <w:sz w:val="24"/>
          <w:szCs w:val="24"/>
        </w:rPr>
      </w:pPr>
      <w:r>
        <w:rPr>
          <w:rFonts w:hint="eastAsia" w:ascii="Calibri" w:hAnsi="Calibri" w:eastAsia="宋体" w:cs="Times New Roman"/>
          <w:sz w:val="24"/>
          <w:szCs w:val="24"/>
        </w:rPr>
        <w:t>结论：</w:t>
      </w:r>
    </w:p>
    <w:p w14:paraId="484B996A">
      <w:pPr>
        <w:numPr>
          <w:ilvl w:val="0"/>
          <w:numId w:val="11"/>
        </w:numPr>
        <w:spacing w:line="360" w:lineRule="auto"/>
        <w:rPr>
          <w:rFonts w:ascii="Times New Roman" w:hAnsi="Times New Roman" w:eastAsia="宋体" w:cs="Times New Roman"/>
          <w:sz w:val="24"/>
          <w:szCs w:val="24"/>
        </w:rPr>
      </w:pPr>
      <w:r>
        <w:rPr>
          <w:rFonts w:hint="eastAsia" w:ascii="Calibri" w:hAnsi="Calibri" w:eastAsia="宋体" w:cs="Times New Roman"/>
          <w:sz w:val="24"/>
          <w:szCs w:val="24"/>
        </w:rPr>
        <w:t>煤矸石粉磨</w:t>
      </w:r>
      <w:r>
        <w:rPr>
          <w:rFonts w:hint="eastAsia" w:cs="Times New Roman"/>
          <w:sz w:val="24"/>
          <w:szCs w:val="24"/>
        </w:rPr>
        <w:t>+</w:t>
      </w:r>
      <w:r>
        <w:rPr>
          <w:rFonts w:hint="eastAsia" w:ascii="Calibri" w:hAnsi="Calibri" w:eastAsia="宋体" w:cs="Times New Roman"/>
          <w:sz w:val="24"/>
          <w:szCs w:val="24"/>
        </w:rPr>
        <w:t>原料投入+电炉熔化（含压延成型）阶段是生产微晶玻璃的主导性排放源，占总排放</w:t>
      </w:r>
      <w:r>
        <w:rPr>
          <w:rFonts w:ascii="Times New Roman" w:hAnsi="Times New Roman" w:eastAsia="宋体" w:cs="Times New Roman"/>
          <w:sz w:val="24"/>
          <w:szCs w:val="24"/>
        </w:rPr>
        <w:t>量的</w:t>
      </w:r>
      <w:r>
        <w:rPr>
          <w:rFonts w:ascii="Times New Roman" w:hAnsi="Times New Roman" w:cs="Times New Roman"/>
          <w:sz w:val="24"/>
          <w:szCs w:val="24"/>
        </w:rPr>
        <w:t>67.05</w:t>
      </w:r>
      <w:r>
        <w:rPr>
          <w:rFonts w:ascii="Times New Roman" w:hAnsi="Times New Roman" w:eastAsia="宋体" w:cs="Times New Roman"/>
          <w:sz w:val="24"/>
          <w:szCs w:val="24"/>
        </w:rPr>
        <w:t>%，退火晶化</w:t>
      </w:r>
      <w:r>
        <w:rPr>
          <w:rFonts w:ascii="Times New Roman" w:hAnsi="Times New Roman" w:cs="Times New Roman"/>
          <w:sz w:val="24"/>
          <w:szCs w:val="24"/>
        </w:rPr>
        <w:t>+切割成型</w:t>
      </w:r>
      <w:r>
        <w:rPr>
          <w:rFonts w:ascii="Times New Roman" w:hAnsi="Times New Roman" w:eastAsia="宋体" w:cs="Times New Roman"/>
          <w:sz w:val="24"/>
          <w:szCs w:val="24"/>
        </w:rPr>
        <w:t>阶段次之，占总排放量的35.87%</w:t>
      </w:r>
      <w:r>
        <w:rPr>
          <w:rFonts w:ascii="Times New Roman" w:hAnsi="Times New Roman" w:cs="Times New Roman"/>
          <w:sz w:val="24"/>
          <w:szCs w:val="24"/>
        </w:rPr>
        <w:t>，压延成型阶段</w:t>
      </w:r>
      <w:r>
        <w:rPr>
          <w:rFonts w:ascii="Times New Roman" w:hAnsi="Times New Roman" w:eastAsia="宋体" w:cs="Times New Roman"/>
          <w:sz w:val="24"/>
          <w:szCs w:val="24"/>
        </w:rPr>
        <w:t>略小，为0.</w:t>
      </w:r>
      <w:r>
        <w:rPr>
          <w:rFonts w:ascii="Times New Roman" w:hAnsi="Times New Roman" w:cs="Times New Roman"/>
          <w:sz w:val="24"/>
          <w:szCs w:val="24"/>
        </w:rPr>
        <w:t>.09%</w:t>
      </w:r>
      <w:r>
        <w:rPr>
          <w:rFonts w:ascii="Times New Roman" w:hAnsi="Times New Roman" w:eastAsia="宋体" w:cs="Times New Roman"/>
          <w:sz w:val="24"/>
          <w:szCs w:val="24"/>
        </w:rPr>
        <w:t>。</w:t>
      </w:r>
    </w:p>
    <w:p w14:paraId="7DA3A998">
      <w:pPr>
        <w:numPr>
          <w:ilvl w:val="0"/>
          <w:numId w:val="11"/>
        </w:num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整个生产过程中，电力碳排放量最大为</w:t>
      </w:r>
      <w:r>
        <w:rPr>
          <w:rFonts w:ascii="Times New Roman" w:hAnsi="Times New Roman" w:cs="Times New Roman"/>
          <w:sz w:val="24"/>
          <w:szCs w:val="24"/>
        </w:rPr>
        <w:t>70.61</w:t>
      </w:r>
      <w:r>
        <w:rPr>
          <w:rFonts w:ascii="Times New Roman" w:hAnsi="Times New Roman" w:eastAsia="宋体" w:cs="Times New Roman"/>
          <w:sz w:val="24"/>
          <w:szCs w:val="24"/>
        </w:rPr>
        <w:t>%，原材生产次之，占总排放量的</w:t>
      </w:r>
      <w:r>
        <w:rPr>
          <w:rFonts w:ascii="Times New Roman" w:hAnsi="Times New Roman" w:cs="Times New Roman"/>
          <w:sz w:val="24"/>
          <w:szCs w:val="24"/>
        </w:rPr>
        <w:t>27.09</w:t>
      </w:r>
      <w:r>
        <w:rPr>
          <w:rFonts w:ascii="Times New Roman" w:hAnsi="Times New Roman" w:eastAsia="宋体" w:cs="Times New Roman"/>
          <w:sz w:val="24"/>
          <w:szCs w:val="24"/>
        </w:rPr>
        <w:t>%，其他占总排放量的</w:t>
      </w:r>
      <w:r>
        <w:rPr>
          <w:rFonts w:ascii="Times New Roman" w:hAnsi="Times New Roman" w:cs="Times New Roman"/>
          <w:sz w:val="24"/>
          <w:szCs w:val="24"/>
        </w:rPr>
        <w:t>2.3</w:t>
      </w:r>
      <w:r>
        <w:rPr>
          <w:rFonts w:ascii="Times New Roman" w:hAnsi="Times New Roman" w:eastAsia="宋体" w:cs="Times New Roman"/>
          <w:sz w:val="24"/>
          <w:szCs w:val="24"/>
        </w:rPr>
        <w:t>%。</w:t>
      </w:r>
    </w:p>
    <w:p w14:paraId="2515055F">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表3.1-3微晶玻璃减排初步策略</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1843"/>
        <w:gridCol w:w="2693"/>
        <w:gridCol w:w="2035"/>
      </w:tblGrid>
      <w:tr w14:paraId="364E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14:paraId="5CC888DB">
            <w:pPr>
              <w:spacing w:line="360" w:lineRule="auto"/>
              <w:jc w:val="center"/>
              <w:rPr>
                <w:rFonts w:ascii="Calibri" w:hAnsi="Calibri" w:eastAsia="宋体" w:cs="Times New Roman"/>
                <w:sz w:val="22"/>
              </w:rPr>
            </w:pPr>
            <w:r>
              <w:rPr>
                <w:rFonts w:hint="eastAsia" w:ascii="Calibri" w:hAnsi="Calibri" w:eastAsia="宋体" w:cs="Times New Roman"/>
                <w:sz w:val="22"/>
              </w:rPr>
              <w:t>减排方向</w:t>
            </w:r>
          </w:p>
        </w:tc>
        <w:tc>
          <w:tcPr>
            <w:tcW w:w="1843" w:type="dxa"/>
            <w:vAlign w:val="center"/>
          </w:tcPr>
          <w:p w14:paraId="07B309BF">
            <w:pPr>
              <w:spacing w:line="360" w:lineRule="auto"/>
              <w:jc w:val="center"/>
              <w:rPr>
                <w:rFonts w:ascii="Calibri" w:hAnsi="Calibri" w:eastAsia="宋体" w:cs="Times New Roman"/>
                <w:sz w:val="22"/>
              </w:rPr>
            </w:pPr>
            <w:r>
              <w:rPr>
                <w:rFonts w:hint="eastAsia" w:ascii="Calibri" w:hAnsi="Calibri" w:eastAsia="宋体" w:cs="Times New Roman"/>
                <w:sz w:val="22"/>
              </w:rPr>
              <w:t>重点阶段</w:t>
            </w:r>
          </w:p>
        </w:tc>
        <w:tc>
          <w:tcPr>
            <w:tcW w:w="2693" w:type="dxa"/>
            <w:vAlign w:val="center"/>
          </w:tcPr>
          <w:p w14:paraId="254236DE">
            <w:pPr>
              <w:spacing w:line="360" w:lineRule="auto"/>
              <w:jc w:val="center"/>
              <w:rPr>
                <w:rFonts w:ascii="Calibri" w:hAnsi="Calibri" w:eastAsia="宋体" w:cs="Times New Roman"/>
                <w:sz w:val="22"/>
              </w:rPr>
            </w:pPr>
            <w:r>
              <w:rPr>
                <w:rFonts w:hint="eastAsia" w:ascii="Calibri" w:hAnsi="Calibri" w:eastAsia="宋体" w:cs="Times New Roman"/>
                <w:sz w:val="22"/>
              </w:rPr>
              <w:t>减排潜力依据</w:t>
            </w:r>
          </w:p>
        </w:tc>
        <w:tc>
          <w:tcPr>
            <w:tcW w:w="2035" w:type="dxa"/>
            <w:vAlign w:val="center"/>
          </w:tcPr>
          <w:p w14:paraId="520E2B97">
            <w:pPr>
              <w:spacing w:line="360" w:lineRule="auto"/>
              <w:jc w:val="center"/>
              <w:rPr>
                <w:rFonts w:ascii="Calibri" w:hAnsi="Calibri" w:eastAsia="宋体" w:cs="Times New Roman"/>
                <w:sz w:val="22"/>
              </w:rPr>
            </w:pPr>
            <w:r>
              <w:rPr>
                <w:rFonts w:hint="eastAsia" w:ascii="Calibri" w:hAnsi="Calibri" w:eastAsia="宋体" w:cs="Times New Roman"/>
                <w:sz w:val="22"/>
              </w:rPr>
              <w:t>初步策略</w:t>
            </w:r>
          </w:p>
        </w:tc>
      </w:tr>
      <w:tr w14:paraId="7DFD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14:paraId="70556A8D">
            <w:pPr>
              <w:spacing w:line="360" w:lineRule="auto"/>
              <w:jc w:val="center"/>
              <w:rPr>
                <w:rFonts w:ascii="Calibri" w:hAnsi="Calibri" w:eastAsia="宋体" w:cs="Times New Roman"/>
                <w:sz w:val="22"/>
              </w:rPr>
            </w:pPr>
            <w:r>
              <w:rPr>
                <w:rFonts w:hint="eastAsia" w:ascii="Calibri" w:hAnsi="Calibri" w:eastAsia="宋体" w:cs="Times New Roman"/>
                <w:sz w:val="22"/>
              </w:rPr>
              <w:t>电力清洁化</w:t>
            </w:r>
          </w:p>
        </w:tc>
        <w:tc>
          <w:tcPr>
            <w:tcW w:w="1843" w:type="dxa"/>
            <w:vAlign w:val="center"/>
          </w:tcPr>
          <w:p w14:paraId="7700396E">
            <w:pPr>
              <w:spacing w:line="360" w:lineRule="auto"/>
              <w:jc w:val="center"/>
              <w:rPr>
                <w:rFonts w:ascii="Calibri" w:hAnsi="Calibri" w:eastAsia="宋体" w:cs="Times New Roman"/>
                <w:sz w:val="22"/>
              </w:rPr>
            </w:pPr>
            <w:r>
              <w:rPr>
                <w:rFonts w:hint="eastAsia" w:ascii="Calibri" w:hAnsi="Calibri" w:eastAsia="宋体" w:cs="Times New Roman"/>
                <w:sz w:val="22"/>
              </w:rPr>
              <w:t>全流程</w:t>
            </w:r>
          </w:p>
        </w:tc>
        <w:tc>
          <w:tcPr>
            <w:tcW w:w="2693" w:type="dxa"/>
            <w:vAlign w:val="center"/>
          </w:tcPr>
          <w:p w14:paraId="0AF0C889">
            <w:pPr>
              <w:spacing w:line="360" w:lineRule="auto"/>
              <w:jc w:val="center"/>
              <w:rPr>
                <w:rFonts w:ascii="Calibri" w:hAnsi="Calibri" w:eastAsia="宋体" w:cs="Times New Roman"/>
                <w:sz w:val="22"/>
              </w:rPr>
            </w:pPr>
            <w:r>
              <w:rPr>
                <w:rFonts w:hint="eastAsia" w:ascii="Calibri" w:hAnsi="Calibri" w:eastAsia="宋体" w:cs="Times New Roman"/>
                <w:sz w:val="22"/>
              </w:rPr>
              <w:t>电力碳排放量贡献</w:t>
            </w:r>
            <w:r>
              <w:rPr>
                <w:rFonts w:hint="eastAsia" w:cs="Times New Roman"/>
                <w:sz w:val="22"/>
              </w:rPr>
              <w:t>70.61</w:t>
            </w:r>
            <w:r>
              <w:rPr>
                <w:rFonts w:ascii="Calibri" w:hAnsi="Calibri" w:eastAsia="宋体" w:cs="Times New Roman"/>
                <w:sz w:val="22"/>
              </w:rPr>
              <w:t>%</w:t>
            </w:r>
          </w:p>
        </w:tc>
        <w:tc>
          <w:tcPr>
            <w:tcW w:w="2035" w:type="dxa"/>
            <w:vAlign w:val="center"/>
          </w:tcPr>
          <w:p w14:paraId="72E72065">
            <w:pPr>
              <w:spacing w:line="360" w:lineRule="auto"/>
              <w:jc w:val="center"/>
              <w:rPr>
                <w:rFonts w:ascii="Calibri" w:hAnsi="Calibri" w:eastAsia="宋体" w:cs="Times New Roman"/>
                <w:sz w:val="22"/>
              </w:rPr>
            </w:pPr>
            <w:r>
              <w:rPr>
                <w:rFonts w:hint="eastAsia" w:ascii="Calibri" w:hAnsi="Calibri" w:eastAsia="宋体" w:cs="Times New Roman"/>
                <w:sz w:val="22"/>
              </w:rPr>
              <w:t>绿电采购，设备能效提升</w:t>
            </w:r>
          </w:p>
        </w:tc>
      </w:tr>
      <w:tr w14:paraId="6150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14:paraId="6DA242D4">
            <w:pPr>
              <w:spacing w:line="360" w:lineRule="auto"/>
              <w:jc w:val="center"/>
              <w:rPr>
                <w:rFonts w:ascii="Calibri" w:hAnsi="Calibri" w:eastAsia="宋体" w:cs="Times New Roman"/>
                <w:sz w:val="22"/>
              </w:rPr>
            </w:pPr>
            <w:r>
              <w:rPr>
                <w:rFonts w:hint="eastAsia" w:ascii="Calibri" w:hAnsi="Calibri" w:eastAsia="宋体" w:cs="Times New Roman"/>
                <w:sz w:val="22"/>
              </w:rPr>
              <w:t>原料优化</w:t>
            </w:r>
          </w:p>
        </w:tc>
        <w:tc>
          <w:tcPr>
            <w:tcW w:w="1843" w:type="dxa"/>
            <w:vAlign w:val="center"/>
          </w:tcPr>
          <w:p w14:paraId="4A8FBEA7">
            <w:pPr>
              <w:spacing w:line="360" w:lineRule="auto"/>
              <w:jc w:val="center"/>
              <w:rPr>
                <w:rFonts w:ascii="Calibri" w:hAnsi="Calibri" w:eastAsia="宋体" w:cs="Times New Roman"/>
                <w:sz w:val="22"/>
              </w:rPr>
            </w:pPr>
            <w:r>
              <w:rPr>
                <w:rFonts w:hint="eastAsia" w:ascii="Calibri" w:hAnsi="Calibri" w:eastAsia="宋体" w:cs="Times New Roman"/>
                <w:sz w:val="22"/>
              </w:rPr>
              <w:t>原料投入</w:t>
            </w:r>
          </w:p>
        </w:tc>
        <w:tc>
          <w:tcPr>
            <w:tcW w:w="2693" w:type="dxa"/>
            <w:vAlign w:val="center"/>
          </w:tcPr>
          <w:p w14:paraId="7CEB6918">
            <w:pPr>
              <w:spacing w:line="360" w:lineRule="auto"/>
              <w:jc w:val="center"/>
              <w:rPr>
                <w:rFonts w:ascii="Calibri" w:hAnsi="Calibri" w:eastAsia="宋体" w:cs="Times New Roman"/>
                <w:sz w:val="22"/>
              </w:rPr>
            </w:pPr>
            <w:r>
              <w:rPr>
                <w:rFonts w:hint="eastAsia" w:ascii="Calibri" w:hAnsi="Calibri" w:eastAsia="宋体" w:cs="Times New Roman"/>
                <w:sz w:val="22"/>
              </w:rPr>
              <w:t>原材贡献</w:t>
            </w:r>
            <w:r>
              <w:rPr>
                <w:rFonts w:hint="eastAsia" w:cs="Times New Roman"/>
                <w:sz w:val="22"/>
              </w:rPr>
              <w:t>27.09</w:t>
            </w:r>
            <w:r>
              <w:rPr>
                <w:rFonts w:ascii="Calibri" w:hAnsi="Calibri" w:eastAsia="宋体" w:cs="Times New Roman"/>
                <w:sz w:val="22"/>
              </w:rPr>
              <w:t>%</w:t>
            </w:r>
          </w:p>
        </w:tc>
        <w:tc>
          <w:tcPr>
            <w:tcW w:w="2035" w:type="dxa"/>
            <w:vAlign w:val="center"/>
          </w:tcPr>
          <w:p w14:paraId="7FA0C07C">
            <w:pPr>
              <w:spacing w:line="360" w:lineRule="auto"/>
              <w:jc w:val="center"/>
              <w:rPr>
                <w:rFonts w:ascii="Calibri" w:hAnsi="Calibri" w:eastAsia="宋体" w:cs="Times New Roman"/>
                <w:sz w:val="22"/>
              </w:rPr>
            </w:pPr>
            <w:r>
              <w:rPr>
                <w:rFonts w:hint="eastAsia" w:ascii="Calibri" w:hAnsi="Calibri" w:eastAsia="宋体" w:cs="Times New Roman"/>
                <w:sz w:val="22"/>
              </w:rPr>
              <w:t>低碳配方研发</w:t>
            </w:r>
          </w:p>
        </w:tc>
      </w:tr>
      <w:tr w14:paraId="0294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14:paraId="5E925E5C">
            <w:pPr>
              <w:spacing w:line="360" w:lineRule="auto"/>
              <w:jc w:val="center"/>
              <w:rPr>
                <w:rFonts w:ascii="Calibri" w:hAnsi="Calibri" w:eastAsia="宋体" w:cs="Times New Roman"/>
                <w:sz w:val="22"/>
              </w:rPr>
            </w:pPr>
            <w:r>
              <w:rPr>
                <w:rFonts w:ascii="Calibri" w:hAnsi="Calibri" w:eastAsia="宋体" w:cs="Times New Roman"/>
                <w:sz w:val="22"/>
              </w:rPr>
              <w:t>电炉</w:t>
            </w:r>
            <w:r>
              <w:rPr>
                <w:rFonts w:hint="eastAsia" w:ascii="Calibri" w:hAnsi="Calibri" w:eastAsia="宋体" w:cs="Times New Roman"/>
                <w:sz w:val="22"/>
              </w:rPr>
              <w:t>效率提升</w:t>
            </w:r>
          </w:p>
        </w:tc>
        <w:tc>
          <w:tcPr>
            <w:tcW w:w="1843" w:type="dxa"/>
            <w:vAlign w:val="center"/>
          </w:tcPr>
          <w:p w14:paraId="5E131AE8">
            <w:pPr>
              <w:spacing w:line="360" w:lineRule="auto"/>
              <w:jc w:val="center"/>
              <w:rPr>
                <w:rFonts w:ascii="Calibri" w:hAnsi="Calibri" w:eastAsia="宋体" w:cs="Times New Roman"/>
                <w:sz w:val="22"/>
              </w:rPr>
            </w:pPr>
            <w:r>
              <w:rPr>
                <w:rFonts w:ascii="Calibri" w:hAnsi="Calibri" w:eastAsia="宋体" w:cs="Times New Roman"/>
                <w:sz w:val="22"/>
              </w:rPr>
              <w:t>电炉熔化</w:t>
            </w:r>
          </w:p>
        </w:tc>
        <w:tc>
          <w:tcPr>
            <w:tcW w:w="2693" w:type="dxa"/>
            <w:vAlign w:val="center"/>
          </w:tcPr>
          <w:p w14:paraId="0E3E299C">
            <w:pPr>
              <w:spacing w:line="360" w:lineRule="auto"/>
              <w:jc w:val="center"/>
              <w:rPr>
                <w:rFonts w:ascii="Calibri" w:hAnsi="Calibri" w:eastAsia="宋体" w:cs="Times New Roman"/>
                <w:sz w:val="22"/>
              </w:rPr>
            </w:pPr>
            <w:r>
              <w:rPr>
                <w:rFonts w:hint="eastAsia" w:ascii="Calibri" w:hAnsi="Calibri" w:eastAsia="宋体" w:cs="Times New Roman"/>
                <w:sz w:val="22"/>
              </w:rPr>
              <w:t>电炉电力贡献</w:t>
            </w:r>
            <w:r>
              <w:rPr>
                <w:rFonts w:hint="eastAsia" w:cs="Times New Roman"/>
                <w:sz w:val="22"/>
              </w:rPr>
              <w:t>34.74</w:t>
            </w:r>
            <w:r>
              <w:rPr>
                <w:rFonts w:ascii="Calibri" w:hAnsi="Calibri" w:eastAsia="宋体" w:cs="Times New Roman"/>
                <w:sz w:val="22"/>
              </w:rPr>
              <w:t>%</w:t>
            </w:r>
          </w:p>
        </w:tc>
        <w:tc>
          <w:tcPr>
            <w:tcW w:w="2035" w:type="dxa"/>
            <w:vAlign w:val="center"/>
          </w:tcPr>
          <w:p w14:paraId="79DC3402">
            <w:pPr>
              <w:spacing w:line="360" w:lineRule="auto"/>
              <w:jc w:val="center"/>
              <w:rPr>
                <w:rFonts w:ascii="Calibri" w:hAnsi="Calibri" w:eastAsia="宋体" w:cs="Times New Roman"/>
                <w:sz w:val="22"/>
              </w:rPr>
            </w:pPr>
            <w:r>
              <w:rPr>
                <w:rFonts w:hint="eastAsia" w:ascii="Calibri" w:hAnsi="Calibri" w:eastAsia="宋体" w:cs="Times New Roman"/>
                <w:sz w:val="22"/>
              </w:rPr>
              <w:t>余热回收</w:t>
            </w:r>
          </w:p>
        </w:tc>
      </w:tr>
    </w:tbl>
    <w:p w14:paraId="2D63CF79">
      <w:pPr>
        <w:pStyle w:val="47"/>
        <w:numPr>
          <w:ilvl w:val="0"/>
          <w:numId w:val="0"/>
        </w:numPr>
        <w:spacing w:before="100" w:beforeAutospacing="1" w:after="0" w:line="240" w:lineRule="auto"/>
        <w:outlineLvl w:val="1"/>
        <w:rPr>
          <w:rFonts w:ascii="Times New Roman" w:hAnsi="Times New Roman" w:cs="Times New Roman"/>
          <w:szCs w:val="28"/>
        </w:rPr>
      </w:pPr>
      <w:bookmarkStart w:id="85" w:name="_Toc20039"/>
      <w:bookmarkStart w:id="86" w:name="_Toc18745"/>
      <w:r>
        <w:rPr>
          <w:rFonts w:hint="eastAsia" w:ascii="Times New Roman" w:hAnsi="Times New Roman" w:cs="Times New Roman"/>
          <w:szCs w:val="28"/>
        </w:rPr>
        <w:t>3.2</w:t>
      </w:r>
      <w:r>
        <w:rPr>
          <w:rFonts w:ascii="Times New Roman" w:hAnsi="Times New Roman" w:cs="Times New Roman"/>
          <w:szCs w:val="28"/>
        </w:rPr>
        <w:t>过程累积贡献分析</w:t>
      </w:r>
      <w:bookmarkEnd w:id="85"/>
      <w:bookmarkEnd w:id="86"/>
    </w:p>
    <w:p w14:paraId="3A7E804F">
      <w:pPr>
        <w:spacing w:line="360" w:lineRule="auto"/>
        <w:ind w:firstLine="420"/>
        <w:rPr>
          <w:rFonts w:ascii="Times New Roman" w:hAnsi="Times New Roman" w:eastAsia="宋体" w:cs="Times New Roman"/>
          <w:snapToGrid w:val="0"/>
          <w:color w:val="000000"/>
          <w:sz w:val="24"/>
          <w:szCs w:val="24"/>
        </w:rPr>
      </w:pPr>
      <w:r>
        <w:rPr>
          <w:rFonts w:hint="eastAsia" w:ascii="Times New Roman" w:hAnsi="Times New Roman" w:eastAsia="宋体" w:cs="Times New Roman"/>
          <w:snapToGrid w:val="0"/>
          <w:color w:val="000000"/>
          <w:sz w:val="24"/>
          <w:szCs w:val="24"/>
        </w:rPr>
        <w:t>过程累积贡献是指该过程直接贡献及其所有上游过程的贡献（即原料消耗所贡献）的累加值。由于过程通常是包含多条清单数据，所以过程贡献分析其实是多项清单数据灵敏度的累积。</w:t>
      </w:r>
    </w:p>
    <w:p w14:paraId="5EAAC63D">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表3.2微晶玻璃LCA累积贡献结果</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
        <w:gridCol w:w="1208"/>
        <w:gridCol w:w="1041"/>
        <w:gridCol w:w="742"/>
        <w:gridCol w:w="1041"/>
        <w:gridCol w:w="772"/>
        <w:gridCol w:w="696"/>
        <w:gridCol w:w="696"/>
        <w:gridCol w:w="917"/>
        <w:gridCol w:w="828"/>
      </w:tblGrid>
      <w:tr w14:paraId="7011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4F13EF8F">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过程名称</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505A4CD0">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GWP-2021 </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63B2CC23">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PED </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59B21995">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ADP </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6065B860">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WU </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31B000BA">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AP </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689F2E2A">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EP </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57003C33">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RI </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5F0B8C39">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ODP </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1B46D990">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POFP </w:t>
            </w:r>
          </w:p>
        </w:tc>
      </w:tr>
      <w:tr w14:paraId="6B1C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386C341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微晶玻璃</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0CFF104F">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1916.8</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7E8FFE2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4.06E+04</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726BBBE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0.02</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138C891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5.60E+04</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142F8B5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13.55</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5C11612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1.5</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37DA56A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2.62</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71D4075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6.4E-06</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2CF18B7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1.23</w:t>
            </w:r>
          </w:p>
        </w:tc>
      </w:tr>
      <w:tr w14:paraId="5A58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10ECDF9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 xml:space="preserve"> 玻璃带</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068E5D5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1229.34</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389F235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2.99E+04</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594F5DF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0.02</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1B79280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5.48E+04</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600F9C7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11.48</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4AD26AA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1.34</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4DCBD13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2.22</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2082FD8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5.9E-06</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6BE5675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1.06</w:t>
            </w:r>
          </w:p>
        </w:tc>
      </w:tr>
      <w:tr w14:paraId="4B11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1F813BA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 xml:space="preserve">  玻璃液</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5FE53B3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1227.58</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47B7006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2.96E+04</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5ACAD60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0.02</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7664582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5.48E+04</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6E31DCA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11.47</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4901477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1.34</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6FE8BAFF">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2.22</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45427AD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5.9E-06</w:t>
            </w:r>
          </w:p>
        </w:tc>
        <w:tc>
          <w:tcPr>
            <w:tcW w:w="1000" w:type="dxa"/>
            <w:tcBorders>
              <w:top w:val="single" w:color="000000" w:sz="8" w:space="0"/>
              <w:left w:val="nil"/>
              <w:bottom w:val="single" w:color="000000" w:sz="8" w:space="0"/>
              <w:right w:val="nil"/>
            </w:tcBorders>
            <w:shd w:val="clear" w:color="auto" w:fill="FFFFFF"/>
            <w:tcMar>
              <w:top w:w="100" w:type="dxa"/>
              <w:bottom w:w="100" w:type="dxa"/>
            </w:tcMar>
          </w:tcPr>
          <w:p w14:paraId="51534C3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1.06</w:t>
            </w:r>
          </w:p>
        </w:tc>
      </w:tr>
    </w:tbl>
    <w:p w14:paraId="70FCF11F">
      <w:pPr>
        <w:pStyle w:val="47"/>
        <w:numPr>
          <w:ilvl w:val="0"/>
          <w:numId w:val="0"/>
        </w:numPr>
        <w:spacing w:before="100" w:beforeAutospacing="1" w:after="0" w:line="240" w:lineRule="auto"/>
        <w:outlineLvl w:val="1"/>
        <w:rPr>
          <w:rFonts w:ascii="Times New Roman" w:hAnsi="Times New Roman" w:cs="Times New Roman"/>
          <w:szCs w:val="28"/>
        </w:rPr>
      </w:pPr>
      <w:bookmarkStart w:id="87" w:name="_Toc3020"/>
      <w:bookmarkStart w:id="88" w:name="_Toc31247"/>
      <w:r>
        <w:rPr>
          <w:rFonts w:hint="eastAsia" w:ascii="Times New Roman" w:hAnsi="Times New Roman" w:cs="Times New Roman"/>
          <w:szCs w:val="28"/>
        </w:rPr>
        <w:t>3.3清单数据灵敏度分析</w:t>
      </w:r>
      <w:bookmarkEnd w:id="87"/>
      <w:bookmarkEnd w:id="88"/>
      <w:r>
        <w:rPr>
          <w:rFonts w:hint="eastAsia" w:ascii="Times New Roman" w:hAnsi="Times New Roman" w:cs="Times New Roman"/>
          <w:szCs w:val="28"/>
        </w:rPr>
        <w:t xml:space="preserve"> </w:t>
      </w:r>
    </w:p>
    <w:p w14:paraId="25C918F9">
      <w:pPr>
        <w:spacing w:line="360" w:lineRule="auto"/>
        <w:ind w:firstLine="480" w:firstLineChars="200"/>
        <w:rPr>
          <w:rFonts w:ascii="Times New Roman" w:hAnsi="Times New Roman" w:eastAsia="宋体" w:cs="Times New Roman"/>
          <w:snapToGrid w:val="0"/>
          <w:color w:val="000000"/>
          <w:sz w:val="24"/>
          <w:szCs w:val="24"/>
        </w:rPr>
      </w:pPr>
      <w:r>
        <w:rPr>
          <w:rFonts w:hint="eastAsia" w:ascii="Times New Roman" w:hAnsi="Times New Roman" w:eastAsia="宋体" w:cs="Times New Roman"/>
          <w:snapToGrid w:val="0"/>
          <w:color w:val="000000"/>
          <w:sz w:val="24"/>
          <w:szCs w:val="24"/>
        </w:rPr>
        <w:t>清单数据灵敏度是指清单数据单位变化率引起的相应指标变化率。通过分析清单数据对各指标的灵敏度，并配合改进潜力评估，从而辨识最有效的改进点。表中罗列了灵敏度＞0.5%的清单数据。</w:t>
      </w:r>
    </w:p>
    <w:p w14:paraId="398DE2DA">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表3.3清单数据灵敏度表（单位同上表）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482"/>
        <w:gridCol w:w="844"/>
        <w:gridCol w:w="818"/>
        <w:gridCol w:w="818"/>
        <w:gridCol w:w="818"/>
        <w:gridCol w:w="818"/>
        <w:gridCol w:w="818"/>
        <w:gridCol w:w="818"/>
        <w:gridCol w:w="818"/>
        <w:gridCol w:w="818"/>
      </w:tblGrid>
      <w:tr w14:paraId="5960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5F9EC356">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清单名称</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3F08E444">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所属过程</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705D0320">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GWP-2021 </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4B1E4F0">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PED </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4132D80">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ADP </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C720308">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WU </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DDC2FDD">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AP </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9B98536">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EP </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BAF193A">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RI </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703C56C">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ODP </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47775DB">
            <w:pPr>
              <w:jc w:val="center"/>
              <w:rPr>
                <w:rFonts w:ascii="Times New Roman" w:hAnsi="Times New Roman" w:eastAsia="黑体" w:cs="Times New Roman"/>
                <w:b/>
                <w:color w:val="000000"/>
                <w:szCs w:val="21"/>
              </w:rPr>
            </w:pPr>
            <w:r>
              <w:rPr>
                <w:rFonts w:hint="eastAsia" w:ascii="Times New Roman" w:hAnsi="Times New Roman" w:eastAsia="黑体" w:cs="Times New Roman"/>
                <w:b/>
                <w:color w:val="000000"/>
                <w:szCs w:val="21"/>
              </w:rPr>
              <w:t xml:space="preserve">POFP </w:t>
            </w:r>
          </w:p>
        </w:tc>
      </w:tr>
      <w:tr w14:paraId="2939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03C047B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玻璃带</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6228EF4B">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微晶玻璃</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5D68563B">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64.13%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637517B">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73.77%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1D0520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98%</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E61564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97.76%</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5A2C64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84.7%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E9B65A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89.45%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813E88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84.76%</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4A4C01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92.25%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9B820FB">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86.39%</w:t>
            </w:r>
          </w:p>
        </w:tc>
      </w:tr>
      <w:tr w14:paraId="0980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7F75B10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547FCFA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玻璃带</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7D9C93E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64.04%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60BAC7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73.03%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FFF3D0F">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97.77%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8C1B8C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97.75%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1D63A41">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84.66%</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36871C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89.42%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ACE475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84.72%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EED0E8F">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92.23%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69FEFC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86.35%</w:t>
            </w:r>
          </w:p>
        </w:tc>
      </w:tr>
      <w:tr w14:paraId="3A40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19E4165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氟硅酸钠</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3D237DD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2F28DBD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16.18%</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10EFB0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9.17%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53B2F1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78.91%</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99F1F9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87.37%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59628CB">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48.79%</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F9F7F3F">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32.82%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2F9AD9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46.08%</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1573ED2">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F9A101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51.39%</w:t>
            </w:r>
          </w:p>
        </w:tc>
      </w:tr>
      <w:tr w14:paraId="4933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2F82A591">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电力（全国平均）</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09E9150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微晶玻璃</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7217774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35.87%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E97B19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26.23%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337E25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1CC37C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2.24%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9B4F172">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15.3%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6AA7CB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10.55%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34BE3DF">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15.24%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5A2D5C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7.75%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362811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13.61%</w:t>
            </w:r>
          </w:p>
        </w:tc>
      </w:tr>
      <w:tr w14:paraId="3F79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40CAAA3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纯碱</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38589C4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7B4EB41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8.95%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81FA5F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5.77%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483238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0.48%</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AB126D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5.54%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AB724D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25.32%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6AAB5D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40.87%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3859D0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25.22%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D2EDE71">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3.44%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29C9DC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4.28%</w:t>
            </w:r>
          </w:p>
        </w:tc>
      </w:tr>
      <w:tr w14:paraId="678F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54F40FC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电力（全国平均）</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6BFFC26F">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6942CA5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34.74%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C95B9B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19.93%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1E1340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3.34%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7DD9A3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0.49%</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D9531A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2.27%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CDBBB6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4.07%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079ADA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3.07%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8276E5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18.46%</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D88A4E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5.52%</w:t>
            </w:r>
          </w:p>
        </w:tc>
      </w:tr>
      <w:tr w14:paraId="5600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72BA62F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碳酸钙 - 重型柴油货车运输（30t）-中国</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7299104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760C534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1.12%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20E094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0.51%</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09A65A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0.31%</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7170A0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4F018F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3.2%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928E8B1">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4885FF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3.13%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B6D628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28.74%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8CD12B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10.65%</w:t>
            </w:r>
          </w:p>
        </w:tc>
      </w:tr>
      <w:tr w14:paraId="687A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3F11837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柴油</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57D5777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19635E42">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37CC0F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29.96%</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FA7D00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12.33%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DCADE1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4.23E-03%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1448D5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0.1%</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64C7A5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0.01%</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182BC3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0E9113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4E1477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0.1%</w:t>
            </w:r>
          </w:p>
        </w:tc>
      </w:tr>
      <w:tr w14:paraId="14D4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5BC20A6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纯碱 - 重型柴油货车运输（30t）-中国</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71CFED6B">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0A5E773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0.54%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EFCA1A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0.24%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29A2C9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0.15%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74B3A6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7E1999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1.54%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587AEE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A4C372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2C61FDB">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13.82%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E70E4B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5.12%</w:t>
            </w:r>
          </w:p>
        </w:tc>
      </w:tr>
      <w:tr w14:paraId="57E3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4519D58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碳酸钙</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5F9A335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68EAF2A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1.89%</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1D538F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1.18%</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EE94A7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0.12%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EC7F2BB">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0.81%</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3DC2E6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1.72%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A66F98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BB7AD8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4.03%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EEDAE51">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1.78%</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3CB7BD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4.89%</w:t>
            </w:r>
          </w:p>
        </w:tc>
      </w:tr>
      <w:tr w14:paraId="10B7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1C6D494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石英砂 - 重型柴油货车运输（30t）-中国</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01DBC3C1">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510498C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7289A8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0.14%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17FC30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0.08%</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4BF516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8.59E-03%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BD8C0B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0.86%</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261549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4B0E32B">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0.84%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6DE5031">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7.75%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697C2C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2.87%</w:t>
            </w:r>
          </w:p>
        </w:tc>
      </w:tr>
      <w:tr w14:paraId="0F22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05EA490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天然气</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777938A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1F5073B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0.08%</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E55324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6.05%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308594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E8EB88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1.86E-03%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51D2AC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9.46E-03%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B5D3EB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7.60E-03%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0116D7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05B701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0.01%</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3DAC81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0.05%</w:t>
            </w:r>
          </w:p>
        </w:tc>
      </w:tr>
      <w:tr w14:paraId="62AC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726DBD2F">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石英砂</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0A3B24D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304C817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2C8000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321576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0.01%</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DE15EC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3.48%</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FACE9E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6A3CDB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0.56%</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EED07E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0.41%</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44512F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0.95%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ACB034F">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0.27%</w:t>
            </w:r>
          </w:p>
        </w:tc>
      </w:tr>
      <w:tr w14:paraId="21B5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704D619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氟硅酸钠 - 重型柴油货车运输（30t）-中国</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562BAE8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6174596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0.11%</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74E964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BD6B34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3D1CC6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3.05E-03%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2D2EC3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0.31%</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64646AE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3A73BBD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9431541">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2.75%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6E2634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1.02%</w:t>
            </w:r>
          </w:p>
        </w:tc>
      </w:tr>
      <w:tr w14:paraId="4080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49797F8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天然气</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1CF4A37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玻璃带</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7C5E6EFB">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8.93E-03%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55D327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0.67%</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89328B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0.22%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8CB288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2.07E-04%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A21051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1.05E-03%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99793E1">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8.45E-04%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CFAC09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2.54E-03%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F0FB15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1.61E-03%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B3D810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5.51E-03%</w:t>
            </w:r>
          </w:p>
        </w:tc>
      </w:tr>
      <w:tr w14:paraId="70C7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530C19D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煤矸石 - 重型柴油货车运输（30t）-中国</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1C3207C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27BBC80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6F0407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8.71E-03%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18A2B28">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5.35E-03%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AE67AB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5.46E-04%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974222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983379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0.09%</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B857612">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0.05%</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FF64AA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0.49%</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2B4358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0.18%</w:t>
            </w:r>
          </w:p>
        </w:tc>
      </w:tr>
      <w:tr w14:paraId="39D5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39F1FF0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电力（全国平均）</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2E1F7D3F">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玻璃带</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6FAF1B1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0.08%</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2D3535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0.06%</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3FEAB0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4.62E-03%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D541F73">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5.18E-03%</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64BCCA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2DF257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7D05671">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0.04%</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DEFF2B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0.02%</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33904AC">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0.03%</w:t>
            </w:r>
          </w:p>
        </w:tc>
      </w:tr>
      <w:tr w14:paraId="6A1E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000000" w:sz="8" w:space="0"/>
              <w:left w:val="nil"/>
              <w:bottom w:val="single" w:color="000000" w:sz="8" w:space="0"/>
              <w:right w:val="nil"/>
            </w:tcBorders>
            <w:shd w:val="clear" w:color="auto" w:fill="FFFFFF"/>
            <w:tcMar>
              <w:top w:w="100" w:type="dxa"/>
              <w:bottom w:w="100" w:type="dxa"/>
            </w:tcMar>
          </w:tcPr>
          <w:p w14:paraId="68E6DBD4">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煤矸石</w:t>
            </w:r>
          </w:p>
        </w:tc>
        <w:tc>
          <w:tcPr>
            <w:tcW w:w="482" w:type="dxa"/>
            <w:tcBorders>
              <w:top w:val="single" w:color="000000" w:sz="8" w:space="0"/>
              <w:left w:val="nil"/>
              <w:bottom w:val="single" w:color="000000" w:sz="8" w:space="0"/>
              <w:right w:val="nil"/>
            </w:tcBorders>
            <w:shd w:val="clear" w:color="auto" w:fill="FFFFFF"/>
            <w:tcMar>
              <w:top w:w="100" w:type="dxa"/>
              <w:bottom w:w="100" w:type="dxa"/>
            </w:tcMar>
          </w:tcPr>
          <w:p w14:paraId="1134AA0A">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玻璃液</w:t>
            </w:r>
          </w:p>
        </w:tc>
        <w:tc>
          <w:tcPr>
            <w:tcW w:w="844" w:type="dxa"/>
            <w:tcBorders>
              <w:top w:val="single" w:color="000000" w:sz="8" w:space="0"/>
              <w:left w:val="nil"/>
              <w:bottom w:val="single" w:color="000000" w:sz="8" w:space="0"/>
              <w:right w:val="nil"/>
            </w:tcBorders>
            <w:shd w:val="clear" w:color="auto" w:fill="FFFFFF"/>
            <w:tcMar>
              <w:top w:w="100" w:type="dxa"/>
              <w:bottom w:w="100" w:type="dxa"/>
            </w:tcMar>
          </w:tcPr>
          <w:p w14:paraId="75355CD6">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5A4760B2">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48338130">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EE5AFE9">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7F8B83C5">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233AF4BE">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14A0777">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1EB7958B">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w:t>
            </w:r>
          </w:p>
        </w:tc>
        <w:tc>
          <w:tcPr>
            <w:tcW w:w="818" w:type="dxa"/>
            <w:tcBorders>
              <w:top w:val="single" w:color="000000" w:sz="8" w:space="0"/>
              <w:left w:val="nil"/>
              <w:bottom w:val="single" w:color="000000" w:sz="8" w:space="0"/>
              <w:right w:val="nil"/>
            </w:tcBorders>
            <w:shd w:val="clear" w:color="auto" w:fill="FFFFFF"/>
            <w:tcMar>
              <w:top w:w="100" w:type="dxa"/>
              <w:bottom w:w="100" w:type="dxa"/>
            </w:tcMar>
          </w:tcPr>
          <w:p w14:paraId="0EEB5A9D">
            <w:pPr>
              <w:jc w:val="center"/>
              <w:rPr>
                <w:rFonts w:ascii="Times New Roman" w:hAnsi="Times New Roman" w:eastAsia="黑体" w:cs="Times New Roman"/>
                <w:color w:val="000000"/>
                <w:szCs w:val="21"/>
              </w:rPr>
            </w:pPr>
            <w:r>
              <w:rPr>
                <w:rFonts w:hint="eastAsia" w:ascii="Times New Roman" w:hAnsi="Times New Roman" w:eastAsia="黑体" w:cs="Times New Roman"/>
                <w:color w:val="000000"/>
                <w:szCs w:val="21"/>
              </w:rPr>
              <w:t>0%</w:t>
            </w:r>
          </w:p>
        </w:tc>
      </w:tr>
    </w:tbl>
    <w:p w14:paraId="108621F9">
      <w:pPr>
        <w:pStyle w:val="47"/>
        <w:spacing w:before="100" w:beforeAutospacing="1" w:after="0" w:line="240" w:lineRule="auto"/>
        <w:rPr>
          <w:rFonts w:ascii="Times New Roman" w:hAnsi="Times New Roman" w:cs="Times New Roman"/>
          <w:sz w:val="30"/>
          <w:szCs w:val="30"/>
        </w:rPr>
      </w:pPr>
      <w:bookmarkStart w:id="89" w:name="_Toc28765"/>
      <w:bookmarkStart w:id="90" w:name="_Toc32701"/>
      <w:r>
        <w:rPr>
          <w:rFonts w:hint="eastAsia" w:ascii="Times New Roman" w:hAnsi="Times New Roman" w:cs="Times New Roman"/>
          <w:sz w:val="30"/>
          <w:szCs w:val="30"/>
        </w:rPr>
        <w:t>生命周期解释</w:t>
      </w:r>
      <w:bookmarkEnd w:id="89"/>
      <w:bookmarkEnd w:id="90"/>
    </w:p>
    <w:p w14:paraId="50DD069D">
      <w:pPr>
        <w:pStyle w:val="47"/>
        <w:numPr>
          <w:ilvl w:val="1"/>
          <w:numId w:val="1"/>
        </w:numPr>
        <w:spacing w:before="100" w:beforeAutospacing="1" w:after="0" w:line="240" w:lineRule="auto"/>
        <w:outlineLvl w:val="1"/>
        <w:rPr>
          <w:rFonts w:ascii="Times New Roman" w:hAnsi="Times New Roman" w:cs="Times New Roman"/>
          <w:szCs w:val="28"/>
        </w:rPr>
      </w:pPr>
      <w:bookmarkStart w:id="91" w:name="_Toc4110"/>
      <w:bookmarkStart w:id="92" w:name="_Toc29440"/>
      <w:r>
        <w:rPr>
          <w:rFonts w:hint="eastAsia" w:ascii="Times New Roman" w:hAnsi="Times New Roman" w:cs="Times New Roman"/>
          <w:szCs w:val="28"/>
        </w:rPr>
        <w:t>完整性说明</w:t>
      </w:r>
      <w:bookmarkEnd w:id="91"/>
      <w:bookmarkEnd w:id="92"/>
    </w:p>
    <w:p w14:paraId="1C039953">
      <w:pPr>
        <w:ind w:left="567"/>
        <w:rPr>
          <w:rFonts w:ascii="Times New Roman" w:hAnsi="Times New Roman" w:eastAsia="宋体" w:cs="Times New Roman"/>
          <w:snapToGrid w:val="0"/>
          <w:color w:val="000000"/>
          <w:sz w:val="28"/>
          <w:szCs w:val="28"/>
        </w:rPr>
      </w:pPr>
      <w:r>
        <w:rPr>
          <w:rFonts w:ascii="Times New Roman" w:hAnsi="Times New Roman" w:eastAsia="宋体" w:cs="Times New Roman"/>
          <w:snapToGrid w:val="0"/>
          <w:color w:val="000000"/>
          <w:sz w:val="24"/>
          <w:szCs w:val="24"/>
        </w:rPr>
        <w:t>生命周期模型数据</w:t>
      </w:r>
    </w:p>
    <w:p w14:paraId="7FE0775D">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表4.1数据缺失或忽略的物料汇总表</w:t>
      </w:r>
    </w:p>
    <w:tbl>
      <w:tblPr>
        <w:tblStyle w:val="62"/>
        <w:tblW w:w="8602" w:type="dxa"/>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60"/>
        <w:gridCol w:w="1275"/>
        <w:gridCol w:w="1560"/>
        <w:gridCol w:w="1120"/>
        <w:gridCol w:w="864"/>
        <w:gridCol w:w="2223"/>
      </w:tblGrid>
      <w:tr w14:paraId="6A327AB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1560" w:type="dxa"/>
            <w:tcBorders>
              <w:top w:val="nil"/>
              <w:left w:val="single" w:color="000000" w:sz="4" w:space="0"/>
              <w:bottom w:val="single" w:color="000000" w:sz="4" w:space="0"/>
              <w:right w:val="nil"/>
              <w:insideV w:val="nil"/>
              <w:tl2br w:val="nil"/>
              <w:tr2bl w:val="nil"/>
            </w:tcBorders>
            <w:vAlign w:val="center"/>
          </w:tcPr>
          <w:p w14:paraId="7C4E92D9">
            <w:pPr>
              <w:jc w:val="center"/>
              <w:rPr>
                <w:rFonts w:ascii="Times New Roman" w:hAnsi="Times New Roman" w:eastAsia="黑体" w:cs="Times New Roman"/>
                <w:b/>
                <w:bCs/>
                <w:color w:val="000000"/>
                <w:sz w:val="22"/>
              </w:rPr>
            </w:pPr>
            <w:r>
              <w:rPr>
                <w:rFonts w:ascii="Times New Roman" w:hAnsi="Times New Roman" w:eastAsia="宋体" w:cs="Times New Roman"/>
                <w:b/>
                <w:bCs/>
                <w:color w:val="000000"/>
                <w:sz w:val="22"/>
              </w:rPr>
              <w:t>消耗名称</w:t>
            </w:r>
          </w:p>
        </w:tc>
        <w:tc>
          <w:tcPr>
            <w:tcW w:w="1275" w:type="dxa"/>
            <w:tcBorders>
              <w:top w:val="nil"/>
              <w:bottom w:val="single" w:color="000000" w:sz="4" w:space="0"/>
              <w:right w:val="nil"/>
              <w:insideV w:val="nil"/>
              <w:tl2br w:val="nil"/>
              <w:tr2bl w:val="nil"/>
            </w:tcBorders>
            <w:vAlign w:val="center"/>
          </w:tcPr>
          <w:p w14:paraId="591336C8">
            <w:pPr>
              <w:jc w:val="center"/>
              <w:rPr>
                <w:rFonts w:ascii="Times New Roman" w:hAnsi="Times New Roman" w:eastAsia="黑体" w:cs="Times New Roman"/>
                <w:b/>
                <w:bCs/>
                <w:color w:val="000000"/>
                <w:sz w:val="22"/>
              </w:rPr>
            </w:pPr>
            <w:r>
              <w:rPr>
                <w:rFonts w:ascii="Times New Roman" w:hAnsi="Times New Roman" w:eastAsia="宋体" w:cs="Times New Roman"/>
                <w:b/>
                <w:bCs/>
                <w:color w:val="000000"/>
                <w:sz w:val="22"/>
              </w:rPr>
              <w:t>所属过程</w:t>
            </w:r>
          </w:p>
        </w:tc>
        <w:tc>
          <w:tcPr>
            <w:tcW w:w="1560" w:type="dxa"/>
            <w:tcBorders>
              <w:top w:val="nil"/>
              <w:bottom w:val="single" w:color="000000" w:sz="4" w:space="0"/>
              <w:right w:val="nil"/>
              <w:insideV w:val="nil"/>
              <w:tl2br w:val="nil"/>
              <w:tr2bl w:val="nil"/>
            </w:tcBorders>
            <w:vAlign w:val="center"/>
          </w:tcPr>
          <w:p w14:paraId="00720A3F">
            <w:pPr>
              <w:jc w:val="center"/>
              <w:rPr>
                <w:rFonts w:ascii="Times New Roman" w:hAnsi="Times New Roman" w:eastAsia="黑体" w:cs="Times New Roman"/>
                <w:b/>
                <w:bCs/>
                <w:color w:val="000000"/>
                <w:sz w:val="22"/>
              </w:rPr>
            </w:pPr>
            <w:r>
              <w:rPr>
                <w:rFonts w:ascii="Times New Roman" w:hAnsi="Times New Roman" w:eastAsia="宋体" w:cs="Times New Roman"/>
                <w:b/>
                <w:bCs/>
                <w:color w:val="000000"/>
                <w:sz w:val="22"/>
              </w:rPr>
              <w:t>上游数据来源</w:t>
            </w:r>
          </w:p>
        </w:tc>
        <w:tc>
          <w:tcPr>
            <w:tcW w:w="1120" w:type="dxa"/>
            <w:tcBorders>
              <w:top w:val="nil"/>
              <w:bottom w:val="single" w:color="000000" w:sz="4" w:space="0"/>
              <w:right w:val="nil"/>
              <w:insideV w:val="nil"/>
              <w:tl2br w:val="nil"/>
              <w:tr2bl w:val="nil"/>
            </w:tcBorders>
            <w:vAlign w:val="center"/>
          </w:tcPr>
          <w:p w14:paraId="1A6D03F3">
            <w:pPr>
              <w:jc w:val="center"/>
              <w:rPr>
                <w:rFonts w:ascii="Times New Roman" w:hAnsi="Times New Roman" w:eastAsia="黑体" w:cs="Times New Roman"/>
                <w:b/>
                <w:bCs/>
                <w:color w:val="000000"/>
                <w:sz w:val="22"/>
              </w:rPr>
            </w:pPr>
            <w:r>
              <w:rPr>
                <w:rFonts w:ascii="Times New Roman" w:hAnsi="Times New Roman" w:eastAsia="宋体" w:cs="Times New Roman"/>
                <w:b/>
                <w:bCs/>
                <w:color w:val="000000"/>
                <w:sz w:val="22"/>
              </w:rPr>
              <w:t>数量单位</w:t>
            </w:r>
          </w:p>
        </w:tc>
        <w:tc>
          <w:tcPr>
            <w:tcW w:w="864" w:type="dxa"/>
            <w:tcBorders>
              <w:top w:val="nil"/>
              <w:bottom w:val="single" w:color="000000" w:sz="4" w:space="0"/>
              <w:right w:val="nil"/>
              <w:insideV w:val="nil"/>
              <w:tl2br w:val="nil"/>
              <w:tr2bl w:val="nil"/>
            </w:tcBorders>
            <w:vAlign w:val="center"/>
          </w:tcPr>
          <w:p w14:paraId="2C2BE556">
            <w:pPr>
              <w:jc w:val="center"/>
              <w:rPr>
                <w:rFonts w:ascii="Times New Roman" w:hAnsi="Times New Roman" w:eastAsia="黑体" w:cs="Times New Roman"/>
                <w:b/>
                <w:bCs/>
                <w:color w:val="000000"/>
                <w:sz w:val="22"/>
              </w:rPr>
            </w:pPr>
            <w:r>
              <w:rPr>
                <w:rFonts w:ascii="Times New Roman" w:hAnsi="Times New Roman" w:eastAsia="宋体" w:cs="Times New Roman"/>
                <w:b/>
                <w:bCs/>
                <w:color w:val="000000"/>
                <w:sz w:val="22"/>
              </w:rPr>
              <w:t>重量比</w:t>
            </w:r>
          </w:p>
        </w:tc>
        <w:tc>
          <w:tcPr>
            <w:tcW w:w="2223" w:type="dxa"/>
            <w:tcBorders>
              <w:top w:val="nil"/>
              <w:bottom w:val="single" w:color="000000" w:sz="4" w:space="0"/>
              <w:right w:val="nil"/>
              <w:insideV w:val="nil"/>
              <w:tl2br w:val="nil"/>
              <w:tr2bl w:val="nil"/>
            </w:tcBorders>
            <w:vAlign w:val="center"/>
          </w:tcPr>
          <w:p w14:paraId="69F49CE5">
            <w:pPr>
              <w:jc w:val="center"/>
              <w:rPr>
                <w:rFonts w:ascii="Times New Roman" w:hAnsi="Times New Roman" w:eastAsia="黑体" w:cs="Times New Roman"/>
                <w:b/>
                <w:bCs/>
                <w:color w:val="000000"/>
                <w:sz w:val="22"/>
              </w:rPr>
            </w:pPr>
            <w:r>
              <w:rPr>
                <w:rFonts w:ascii="Times New Roman" w:hAnsi="Times New Roman" w:eastAsia="宋体" w:cs="Times New Roman"/>
                <w:b/>
                <w:bCs/>
                <w:color w:val="000000"/>
                <w:sz w:val="22"/>
              </w:rPr>
              <w:t>检查结果</w:t>
            </w:r>
          </w:p>
        </w:tc>
      </w:tr>
      <w:tr w14:paraId="7FFB93D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1560" w:type="dxa"/>
            <w:vAlign w:val="center"/>
          </w:tcPr>
          <w:p w14:paraId="3F22CDED">
            <w:pPr>
              <w:jc w:val="center"/>
              <w:rPr>
                <w:rFonts w:ascii="Times New Roman" w:hAnsi="Times New Roman" w:eastAsia="宋体" w:cs="Times New Roman"/>
                <w:b/>
                <w:bCs/>
                <w:color w:val="000000"/>
                <w:sz w:val="22"/>
              </w:rPr>
            </w:pPr>
            <w:r>
              <w:rPr>
                <w:rFonts w:ascii="Times New Roman" w:hAnsi="Times New Roman" w:eastAsia="宋体" w:cs="Times New Roman"/>
                <w:b w:val="0"/>
                <w:bCs/>
                <w:color w:val="000000"/>
                <w:sz w:val="22"/>
              </w:rPr>
              <w:t>循环水</w:t>
            </w:r>
          </w:p>
        </w:tc>
        <w:tc>
          <w:tcPr>
            <w:tcW w:w="1275" w:type="dxa"/>
            <w:vAlign w:val="center"/>
          </w:tcPr>
          <w:p w14:paraId="2073C591">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柴油 （柴油加氢精制）[来自数据集]</w:t>
            </w:r>
          </w:p>
        </w:tc>
        <w:tc>
          <w:tcPr>
            <w:tcW w:w="1560" w:type="dxa"/>
            <w:vAlign w:val="center"/>
          </w:tcPr>
          <w:p w14:paraId="79800398">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未定义</w:t>
            </w:r>
          </w:p>
        </w:tc>
        <w:tc>
          <w:tcPr>
            <w:tcW w:w="1120" w:type="dxa"/>
            <w:vAlign w:val="center"/>
          </w:tcPr>
          <w:p w14:paraId="10FE9116">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0.0027t</w:t>
            </w:r>
          </w:p>
        </w:tc>
        <w:tc>
          <w:tcPr>
            <w:tcW w:w="864" w:type="dxa"/>
            <w:vAlign w:val="center"/>
          </w:tcPr>
          <w:p w14:paraId="12D253C2">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0%</w:t>
            </w:r>
          </w:p>
        </w:tc>
        <w:tc>
          <w:tcPr>
            <w:tcW w:w="2223" w:type="dxa"/>
            <w:vAlign w:val="center"/>
          </w:tcPr>
          <w:p w14:paraId="27357899">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符合取舍规则</w:t>
            </w:r>
          </w:p>
        </w:tc>
      </w:tr>
      <w:tr w14:paraId="7942BE0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1560" w:type="dxa"/>
            <w:vAlign w:val="center"/>
          </w:tcPr>
          <w:p w14:paraId="76B4C923">
            <w:pPr>
              <w:jc w:val="center"/>
              <w:rPr>
                <w:rFonts w:ascii="Times New Roman" w:hAnsi="Times New Roman" w:eastAsia="宋体" w:cs="Times New Roman"/>
                <w:b/>
                <w:bCs/>
                <w:color w:val="000000"/>
                <w:sz w:val="22"/>
              </w:rPr>
            </w:pPr>
            <w:r>
              <w:rPr>
                <w:rFonts w:ascii="Times New Roman" w:hAnsi="Times New Roman" w:eastAsia="宋体" w:cs="Times New Roman"/>
                <w:b w:val="0"/>
                <w:bCs/>
                <w:color w:val="000000"/>
                <w:sz w:val="22"/>
              </w:rPr>
              <w:t>煤矸石</w:t>
            </w:r>
          </w:p>
        </w:tc>
        <w:tc>
          <w:tcPr>
            <w:tcW w:w="1275" w:type="dxa"/>
            <w:vAlign w:val="center"/>
          </w:tcPr>
          <w:p w14:paraId="5431D27F">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玻璃液</w:t>
            </w:r>
          </w:p>
        </w:tc>
        <w:tc>
          <w:tcPr>
            <w:tcW w:w="1560" w:type="dxa"/>
            <w:vAlign w:val="center"/>
          </w:tcPr>
          <w:p w14:paraId="6AF95A3F">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可忽略</w:t>
            </w:r>
          </w:p>
        </w:tc>
        <w:tc>
          <w:tcPr>
            <w:tcW w:w="1120" w:type="dxa"/>
            <w:vAlign w:val="center"/>
          </w:tcPr>
          <w:p w14:paraId="3C78EC8D">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0.5t</w:t>
            </w:r>
          </w:p>
        </w:tc>
        <w:tc>
          <w:tcPr>
            <w:tcW w:w="864" w:type="dxa"/>
            <w:vAlign w:val="center"/>
          </w:tcPr>
          <w:p w14:paraId="369CF6A7">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50.00%</w:t>
            </w:r>
          </w:p>
        </w:tc>
        <w:tc>
          <w:tcPr>
            <w:tcW w:w="2223" w:type="dxa"/>
            <w:vAlign w:val="center"/>
          </w:tcPr>
          <w:p w14:paraId="450D9D82">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来自上游低价值废料，可忽略</w:t>
            </w:r>
          </w:p>
        </w:tc>
      </w:tr>
    </w:tbl>
    <w:p w14:paraId="7638CA91">
      <w:pPr>
        <w:ind w:firstLine="480" w:firstLineChars="200"/>
        <w:rPr>
          <w:rFonts w:ascii="Times New Roman" w:hAnsi="Times New Roman" w:eastAsia="宋体" w:cs="Times New Roman"/>
          <w:snapToGrid w:val="0"/>
          <w:color w:val="000000"/>
          <w:sz w:val="24"/>
          <w:szCs w:val="24"/>
        </w:rPr>
      </w:pPr>
    </w:p>
    <w:p w14:paraId="0AFB0E20">
      <w:pPr>
        <w:pStyle w:val="14"/>
        <w:spacing w:before="0"/>
        <w:ind w:left="0" w:firstLine="0"/>
        <w:rPr>
          <w:rFonts w:ascii="Times New Roman" w:hAnsi="Times New Roman" w:eastAsia="楷体"/>
          <w:color w:val="000000"/>
          <w:kern w:val="2"/>
          <w:sz w:val="22"/>
          <w:szCs w:val="22"/>
          <w:lang w:eastAsia="zh-CN"/>
        </w:rPr>
      </w:pPr>
      <w:r>
        <w:rPr>
          <w:rFonts w:hint="eastAsia" w:ascii="Times New Roman" w:hAnsi="Times New Roman" w:eastAsia="楷体"/>
          <w:color w:val="000000"/>
          <w:kern w:val="2"/>
          <w:sz w:val="22"/>
          <w:szCs w:val="22"/>
          <w:lang w:eastAsia="zh-CN"/>
        </w:rPr>
        <w:t>注：*</w:t>
      </w:r>
      <w:r>
        <w:rPr>
          <w:rFonts w:ascii="Times New Roman" w:hAnsi="Times New Roman" w:eastAsia="楷体"/>
          <w:color w:val="000000"/>
          <w:kern w:val="2"/>
          <w:sz w:val="22"/>
          <w:szCs w:val="22"/>
          <w:lang w:eastAsia="zh-CN"/>
        </w:rPr>
        <w:t xml:space="preserve"> </w:t>
      </w:r>
      <w:r>
        <w:rPr>
          <w:rFonts w:hint="eastAsia" w:ascii="Times New Roman" w:hAnsi="Times New Roman" w:eastAsia="楷体"/>
          <w:color w:val="000000"/>
          <w:kern w:val="2"/>
          <w:sz w:val="22"/>
          <w:szCs w:val="22"/>
          <w:lang w:eastAsia="zh-CN"/>
        </w:rPr>
        <w:t>重量比=物料重量*数量/产品重量；</w:t>
      </w:r>
    </w:p>
    <w:p w14:paraId="1AA687B7">
      <w:pPr>
        <w:pStyle w:val="14"/>
        <w:spacing w:before="0"/>
        <w:ind w:left="0" w:firstLine="440" w:firstLineChars="200"/>
        <w:rPr>
          <w:rFonts w:ascii="Times New Roman" w:hAnsi="Times New Roman" w:eastAsia="楷体"/>
          <w:color w:val="000000"/>
          <w:kern w:val="2"/>
          <w:sz w:val="22"/>
          <w:szCs w:val="22"/>
          <w:lang w:eastAsia="zh-CN"/>
        </w:rPr>
      </w:pPr>
      <w:r>
        <w:rPr>
          <w:rFonts w:hint="eastAsia" w:ascii="Times New Roman" w:hAnsi="Times New Roman" w:eastAsia="楷体"/>
          <w:color w:val="000000"/>
          <w:kern w:val="2"/>
          <w:sz w:val="22"/>
          <w:szCs w:val="22"/>
          <w:lang w:eastAsia="zh-CN"/>
        </w:rPr>
        <w:t>* 总忽略物料重量比=数据缺失的重量比+符合取舍规则的重量比。</w:t>
      </w:r>
    </w:p>
    <w:p w14:paraId="3D609CBC">
      <w:pPr>
        <w:pStyle w:val="47"/>
        <w:numPr>
          <w:ilvl w:val="1"/>
          <w:numId w:val="1"/>
        </w:numPr>
        <w:spacing w:before="100" w:beforeAutospacing="1" w:after="0" w:line="240" w:lineRule="auto"/>
        <w:outlineLvl w:val="1"/>
        <w:rPr>
          <w:rFonts w:ascii="Times New Roman" w:hAnsi="Times New Roman" w:cs="Times New Roman"/>
          <w:szCs w:val="28"/>
        </w:rPr>
      </w:pPr>
      <w:bookmarkStart w:id="93" w:name="_Toc774"/>
      <w:bookmarkStart w:id="94" w:name="_Toc32060"/>
      <w:r>
        <w:rPr>
          <w:rFonts w:hint="eastAsia" w:ascii="Times New Roman" w:hAnsi="Times New Roman" w:cs="Times New Roman"/>
          <w:szCs w:val="28"/>
        </w:rPr>
        <w:t>数据质量评估结果</w:t>
      </w:r>
      <w:bookmarkEnd w:id="93"/>
      <w:bookmarkEnd w:id="94"/>
    </w:p>
    <w:p w14:paraId="1DDD3D20">
      <w:pPr>
        <w:pStyle w:val="14"/>
        <w:spacing w:before="0" w:line="360" w:lineRule="auto"/>
        <w:ind w:left="119" w:firstLine="420"/>
        <w:rPr>
          <w:lang w:eastAsia="zh-CN"/>
        </w:rPr>
      </w:pPr>
      <w:r>
        <w:rPr>
          <w:lang w:eastAsia="zh-CN"/>
        </w:rPr>
        <w:t>报告采用</w:t>
      </w:r>
      <w:r>
        <w:rPr>
          <w:rFonts w:hint="eastAsia"/>
          <w:lang w:eastAsia="zh-CN"/>
        </w:rPr>
        <w:t>CLCD质量评估方法，在eF系统上完成对模型清单数据的不确定度评估。本报告</w:t>
      </w:r>
      <w:r>
        <w:rPr>
          <w:lang w:eastAsia="zh-CN"/>
        </w:rPr>
        <w:t>研究类型为</w:t>
      </w:r>
      <w:r>
        <w:rPr>
          <w:rFonts w:hint="eastAsia" w:ascii="Times New Roman" w:hAnsi="Times New Roman"/>
          <w:lang w:eastAsia="zh-CN"/>
        </w:rPr>
        <w:t>，</w:t>
      </w:r>
      <w:r>
        <w:rPr>
          <w:rFonts w:hint="eastAsia"/>
          <w:lang w:eastAsia="zh-CN"/>
        </w:rPr>
        <w:t>得到数据质量评估评估结果见表。</w:t>
      </w:r>
    </w:p>
    <w:p w14:paraId="223B1EA1">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表4.2 LCA数据质量评估结果</w:t>
      </w:r>
    </w:p>
    <w:tbl>
      <w:tblPr>
        <w:tblStyle w:val="62"/>
        <w:tblW w:w="8306" w:type="dxa"/>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3"/>
        <w:gridCol w:w="1601"/>
        <w:gridCol w:w="1557"/>
        <w:gridCol w:w="1318"/>
        <w:gridCol w:w="2167"/>
      </w:tblGrid>
      <w:tr w14:paraId="7879543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tcBorders>
              <w:top w:val="nil"/>
              <w:left w:val="single" w:color="000000" w:sz="4" w:space="0"/>
              <w:bottom w:val="single" w:color="000000" w:sz="4" w:space="0"/>
              <w:right w:val="nil"/>
              <w:insideV w:val="nil"/>
              <w:tl2br w:val="nil"/>
              <w:tr2bl w:val="nil"/>
            </w:tcBorders>
            <w:vAlign w:val="center"/>
          </w:tcPr>
          <w:p w14:paraId="50343178">
            <w:pPr>
              <w:jc w:val="center"/>
              <w:rPr>
                <w:rFonts w:ascii="Times New Roman" w:hAnsi="Times New Roman" w:eastAsia="黑体" w:cs="Times New Roman"/>
                <w:b/>
                <w:bCs/>
                <w:color w:val="000000"/>
                <w:sz w:val="22"/>
              </w:rPr>
            </w:pPr>
            <w:r>
              <w:rPr>
                <w:rFonts w:hint="eastAsia" w:ascii="Times New Roman" w:hAnsi="Times New Roman" w:eastAsia="宋体" w:cs="Times New Roman"/>
                <w:b/>
                <w:bCs/>
                <w:color w:val="000000"/>
                <w:sz w:val="22"/>
              </w:rPr>
              <w:t>指标</w:t>
            </w:r>
            <w:r>
              <w:rPr>
                <w:rFonts w:ascii="Times New Roman" w:hAnsi="Times New Roman" w:eastAsia="宋体" w:cs="Times New Roman"/>
                <w:b/>
                <w:bCs/>
                <w:color w:val="000000"/>
                <w:sz w:val="22"/>
              </w:rPr>
              <w:t>名称</w:t>
            </w:r>
          </w:p>
        </w:tc>
        <w:tc>
          <w:tcPr>
            <w:tcW w:w="1601" w:type="dxa"/>
            <w:tcBorders>
              <w:top w:val="nil"/>
              <w:bottom w:val="single" w:color="000000" w:sz="4" w:space="0"/>
              <w:right w:val="nil"/>
              <w:insideV w:val="nil"/>
              <w:tl2br w:val="nil"/>
              <w:tr2bl w:val="nil"/>
            </w:tcBorders>
            <w:vAlign w:val="center"/>
          </w:tcPr>
          <w:p w14:paraId="53021B8D">
            <w:pPr>
              <w:jc w:val="center"/>
              <w:rPr>
                <w:rFonts w:ascii="Times New Roman" w:hAnsi="Times New Roman" w:eastAsia="黑体" w:cs="Times New Roman"/>
                <w:b/>
                <w:bCs/>
                <w:color w:val="000000"/>
                <w:sz w:val="22"/>
              </w:rPr>
            </w:pPr>
            <w:r>
              <w:rPr>
                <w:rFonts w:hint="eastAsia" w:ascii="Times New Roman" w:hAnsi="Times New Roman" w:eastAsia="宋体" w:cs="Times New Roman"/>
                <w:b/>
                <w:bCs/>
                <w:color w:val="000000"/>
                <w:sz w:val="22"/>
              </w:rPr>
              <w:t>缩写（单位）</w:t>
            </w:r>
          </w:p>
        </w:tc>
        <w:tc>
          <w:tcPr>
            <w:tcW w:w="1557" w:type="dxa"/>
            <w:tcBorders>
              <w:top w:val="nil"/>
              <w:bottom w:val="single" w:color="000000" w:sz="4" w:space="0"/>
              <w:right w:val="nil"/>
              <w:insideV w:val="nil"/>
              <w:tl2br w:val="nil"/>
              <w:tr2bl w:val="nil"/>
            </w:tcBorders>
            <w:vAlign w:val="center"/>
          </w:tcPr>
          <w:p w14:paraId="0FC51E4C">
            <w:pPr>
              <w:jc w:val="center"/>
              <w:rPr>
                <w:rFonts w:ascii="Times New Roman" w:hAnsi="Times New Roman" w:eastAsia="宋体" w:cs="Times New Roman"/>
                <w:b/>
                <w:bCs/>
                <w:color w:val="000000"/>
                <w:sz w:val="22"/>
              </w:rPr>
            </w:pPr>
            <w:r>
              <w:rPr>
                <w:rFonts w:hint="eastAsia" w:ascii="Times New Roman" w:hAnsi="Times New Roman" w:eastAsia="宋体" w:cs="Times New Roman"/>
                <w:b/>
                <w:bCs/>
                <w:color w:val="000000"/>
                <w:sz w:val="22"/>
              </w:rPr>
              <w:t>LCA结果</w:t>
            </w:r>
          </w:p>
        </w:tc>
        <w:tc>
          <w:tcPr>
            <w:tcW w:w="1318" w:type="dxa"/>
            <w:tcBorders>
              <w:top w:val="nil"/>
              <w:bottom w:val="single" w:color="000000" w:sz="4" w:space="0"/>
              <w:right w:val="nil"/>
              <w:insideV w:val="nil"/>
              <w:tl2br w:val="nil"/>
              <w:tr2bl w:val="nil"/>
            </w:tcBorders>
            <w:vAlign w:val="center"/>
          </w:tcPr>
          <w:p w14:paraId="230B3714">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结果不确定度</w:t>
            </w:r>
          </w:p>
        </w:tc>
        <w:tc>
          <w:tcPr>
            <w:tcW w:w="2167" w:type="dxa"/>
            <w:tcBorders>
              <w:top w:val="nil"/>
              <w:bottom w:val="single" w:color="000000" w:sz="4" w:space="0"/>
              <w:right w:val="nil"/>
              <w:insideV w:val="nil"/>
              <w:tl2br w:val="nil"/>
              <w:tr2bl w:val="nil"/>
            </w:tcBorders>
            <w:vAlign w:val="center"/>
          </w:tcPr>
          <w:p w14:paraId="3AE4EAD0">
            <w:pPr>
              <w:jc w:val="center"/>
              <w:rPr>
                <w:rFonts w:ascii="Times New Roman" w:hAnsi="Times New Roman" w:eastAsia="宋体" w:cs="Times New Roman"/>
                <w:b/>
                <w:bCs/>
                <w:color w:val="000000"/>
                <w:sz w:val="22"/>
              </w:rPr>
            </w:pPr>
            <w:r>
              <w:rPr>
                <w:rFonts w:ascii="Times New Roman" w:hAnsi="Times New Roman" w:eastAsia="宋体" w:cs="Times New Roman"/>
                <w:b/>
                <w:bCs/>
                <w:color w:val="000000"/>
                <w:sz w:val="22"/>
              </w:rPr>
              <w:t>结果上下限</w:t>
            </w:r>
          </w:p>
          <w:p w14:paraId="28076F49">
            <w:pPr>
              <w:jc w:val="center"/>
              <w:rPr>
                <w:rFonts w:ascii="Times New Roman" w:hAnsi="Times New Roman" w:eastAsia="宋体" w:cs="Times New Roman"/>
                <w:b/>
                <w:bCs/>
                <w:color w:val="000000"/>
                <w:sz w:val="22"/>
              </w:rPr>
            </w:pPr>
            <w:r>
              <w:rPr>
                <w:rFonts w:hint="eastAsia" w:ascii="Times New Roman" w:hAnsi="Times New Roman" w:eastAsia="宋体" w:cs="Times New Roman"/>
                <w:b/>
                <w:bCs/>
                <w:color w:val="000000"/>
                <w:sz w:val="22"/>
              </w:rPr>
              <w:t>（95%置信区间）</w:t>
            </w:r>
          </w:p>
        </w:tc>
      </w:tr>
      <w:tr w14:paraId="578958B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602A675F">
            <w:pPr>
              <w:jc w:val="center"/>
              <w:rPr>
                <w:rFonts w:ascii="Times New Roman" w:hAnsi="Times New Roman" w:eastAsia="宋体" w:cs="Times New Roman"/>
                <w:b w:val="0"/>
                <w:bCs/>
                <w:color w:val="000000"/>
                <w:sz w:val="22"/>
              </w:rPr>
            </w:pPr>
            <w:r>
              <w:rPr>
                <w:rFonts w:ascii="Times New Roman" w:hAnsi="Times New Roman" w:eastAsia="宋体" w:cs="Times New Roman"/>
                <w:b w:val="0"/>
                <w:bCs w:val="0"/>
                <w:color w:val="000000"/>
                <w:sz w:val="22"/>
              </w:rPr>
              <w:t>气候变化</w:t>
            </w:r>
          </w:p>
        </w:tc>
        <w:tc>
          <w:tcPr>
            <w:tcW w:w="1601" w:type="dxa"/>
            <w:vAlign w:val="center"/>
          </w:tcPr>
          <w:p w14:paraId="7D09B580">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GWP-2021(kg CO2 eq)</w:t>
            </w:r>
          </w:p>
        </w:tc>
        <w:tc>
          <w:tcPr>
            <w:tcW w:w="1557" w:type="dxa"/>
            <w:vAlign w:val="center"/>
          </w:tcPr>
          <w:p w14:paraId="556152F1">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1.917E+003</w:t>
            </w:r>
          </w:p>
        </w:tc>
        <w:tc>
          <w:tcPr>
            <w:tcW w:w="1318" w:type="dxa"/>
            <w:vAlign w:val="center"/>
          </w:tcPr>
          <w:p w14:paraId="5213A250">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10.95%</w:t>
            </w:r>
          </w:p>
        </w:tc>
        <w:tc>
          <w:tcPr>
            <w:tcW w:w="2167" w:type="dxa"/>
            <w:vAlign w:val="center"/>
          </w:tcPr>
          <w:p w14:paraId="11EF4C8C">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[1707.09,2126.91]</w:t>
            </w:r>
          </w:p>
        </w:tc>
      </w:tr>
      <w:tr w14:paraId="5200052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34D75250">
            <w:pPr>
              <w:jc w:val="center"/>
              <w:rPr>
                <w:rFonts w:ascii="Times New Roman" w:hAnsi="Times New Roman" w:eastAsia="宋体" w:cs="Times New Roman"/>
                <w:b w:val="0"/>
                <w:bCs/>
                <w:color w:val="000000"/>
                <w:sz w:val="22"/>
              </w:rPr>
            </w:pPr>
            <w:r>
              <w:rPr>
                <w:rFonts w:ascii="Times New Roman" w:hAnsi="Times New Roman" w:eastAsia="宋体" w:cs="Times New Roman"/>
                <w:b w:val="0"/>
                <w:bCs w:val="0"/>
                <w:color w:val="000000"/>
                <w:sz w:val="22"/>
              </w:rPr>
              <w:t>一次能源消耗</w:t>
            </w:r>
          </w:p>
        </w:tc>
        <w:tc>
          <w:tcPr>
            <w:tcW w:w="1601" w:type="dxa"/>
            <w:vAlign w:val="center"/>
          </w:tcPr>
          <w:p w14:paraId="5B27D668">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PED(MJ)</w:t>
            </w:r>
          </w:p>
        </w:tc>
        <w:tc>
          <w:tcPr>
            <w:tcW w:w="1557" w:type="dxa"/>
            <w:vAlign w:val="center"/>
          </w:tcPr>
          <w:p w14:paraId="5E9356C7">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4.056E+004</w:t>
            </w:r>
          </w:p>
        </w:tc>
        <w:tc>
          <w:tcPr>
            <w:tcW w:w="1318" w:type="dxa"/>
            <w:vAlign w:val="center"/>
          </w:tcPr>
          <w:p w14:paraId="702F2C11">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11.22%</w:t>
            </w:r>
          </w:p>
        </w:tc>
        <w:tc>
          <w:tcPr>
            <w:tcW w:w="2167" w:type="dxa"/>
            <w:vAlign w:val="center"/>
          </w:tcPr>
          <w:p w14:paraId="27F2D212">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[3.60E+04,4.51E+04]</w:t>
            </w:r>
          </w:p>
        </w:tc>
      </w:tr>
      <w:tr w14:paraId="6CED81A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5DB4BECC">
            <w:pPr>
              <w:jc w:val="center"/>
              <w:rPr>
                <w:rFonts w:ascii="Times New Roman" w:hAnsi="Times New Roman" w:eastAsia="宋体" w:cs="Times New Roman"/>
                <w:b w:val="0"/>
                <w:bCs/>
                <w:color w:val="000000"/>
                <w:sz w:val="22"/>
              </w:rPr>
            </w:pPr>
            <w:r>
              <w:rPr>
                <w:rFonts w:ascii="Times New Roman" w:hAnsi="Times New Roman" w:eastAsia="宋体" w:cs="Times New Roman"/>
                <w:b w:val="0"/>
                <w:bCs w:val="0"/>
                <w:color w:val="000000"/>
                <w:sz w:val="22"/>
              </w:rPr>
              <w:t>非生物资源消耗潜值</w:t>
            </w:r>
          </w:p>
        </w:tc>
        <w:tc>
          <w:tcPr>
            <w:tcW w:w="1601" w:type="dxa"/>
            <w:vAlign w:val="center"/>
          </w:tcPr>
          <w:p w14:paraId="55A26532">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ADP(kg antimony eq.)</w:t>
            </w:r>
          </w:p>
        </w:tc>
        <w:tc>
          <w:tcPr>
            <w:tcW w:w="1557" w:type="dxa"/>
            <w:vAlign w:val="center"/>
          </w:tcPr>
          <w:p w14:paraId="221071F2">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2.325E-002</w:t>
            </w:r>
          </w:p>
        </w:tc>
        <w:tc>
          <w:tcPr>
            <w:tcW w:w="1318" w:type="dxa"/>
            <w:vAlign w:val="center"/>
          </w:tcPr>
          <w:p w14:paraId="491E4392">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23.47%</w:t>
            </w:r>
          </w:p>
        </w:tc>
        <w:tc>
          <w:tcPr>
            <w:tcW w:w="2167" w:type="dxa"/>
            <w:vAlign w:val="center"/>
          </w:tcPr>
          <w:p w14:paraId="3D201CD6">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[0.02,0.03]</w:t>
            </w:r>
          </w:p>
        </w:tc>
      </w:tr>
      <w:tr w14:paraId="172D683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320ACA8E">
            <w:pPr>
              <w:jc w:val="center"/>
              <w:rPr>
                <w:rFonts w:ascii="Times New Roman" w:hAnsi="Times New Roman" w:eastAsia="宋体" w:cs="Times New Roman"/>
                <w:b w:val="0"/>
                <w:bCs/>
                <w:color w:val="000000"/>
                <w:sz w:val="22"/>
              </w:rPr>
            </w:pPr>
            <w:r>
              <w:rPr>
                <w:rFonts w:ascii="Times New Roman" w:hAnsi="Times New Roman" w:eastAsia="宋体" w:cs="Times New Roman"/>
                <w:b w:val="0"/>
                <w:bCs w:val="0"/>
                <w:color w:val="000000"/>
                <w:sz w:val="22"/>
              </w:rPr>
              <w:t>水资源消耗</w:t>
            </w:r>
          </w:p>
        </w:tc>
        <w:tc>
          <w:tcPr>
            <w:tcW w:w="1601" w:type="dxa"/>
            <w:vAlign w:val="center"/>
          </w:tcPr>
          <w:p w14:paraId="783BC80A">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WU(kg)</w:t>
            </w:r>
          </w:p>
        </w:tc>
        <w:tc>
          <w:tcPr>
            <w:tcW w:w="1557" w:type="dxa"/>
            <w:vAlign w:val="center"/>
          </w:tcPr>
          <w:p w14:paraId="12172CFB">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5.604E+004</w:t>
            </w:r>
          </w:p>
        </w:tc>
        <w:tc>
          <w:tcPr>
            <w:tcW w:w="1318" w:type="dxa"/>
            <w:vAlign w:val="center"/>
          </w:tcPr>
          <w:p w14:paraId="76C64217">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29.68%</w:t>
            </w:r>
          </w:p>
        </w:tc>
        <w:tc>
          <w:tcPr>
            <w:tcW w:w="2167" w:type="dxa"/>
            <w:vAlign w:val="center"/>
          </w:tcPr>
          <w:p w14:paraId="01649399">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[3.94E+04,7.27E+04]</w:t>
            </w:r>
          </w:p>
        </w:tc>
      </w:tr>
      <w:tr w14:paraId="38DBC12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34E0B338">
            <w:pPr>
              <w:jc w:val="center"/>
              <w:rPr>
                <w:rFonts w:ascii="Times New Roman" w:hAnsi="Times New Roman" w:eastAsia="宋体" w:cs="Times New Roman"/>
                <w:b w:val="0"/>
                <w:bCs/>
                <w:color w:val="000000"/>
                <w:sz w:val="22"/>
              </w:rPr>
            </w:pPr>
            <w:r>
              <w:rPr>
                <w:rFonts w:ascii="Times New Roman" w:hAnsi="Times New Roman" w:eastAsia="宋体" w:cs="Times New Roman"/>
                <w:b w:val="0"/>
                <w:bCs w:val="0"/>
                <w:color w:val="000000"/>
                <w:sz w:val="22"/>
              </w:rPr>
              <w:t>酸化</w:t>
            </w:r>
          </w:p>
        </w:tc>
        <w:tc>
          <w:tcPr>
            <w:tcW w:w="1601" w:type="dxa"/>
            <w:vAlign w:val="center"/>
          </w:tcPr>
          <w:p w14:paraId="21BA777B">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AP(kg SO2 eq)</w:t>
            </w:r>
          </w:p>
        </w:tc>
        <w:tc>
          <w:tcPr>
            <w:tcW w:w="1557" w:type="dxa"/>
            <w:vAlign w:val="center"/>
          </w:tcPr>
          <w:p w14:paraId="1A88D2B8">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1.355E+001</w:t>
            </w:r>
          </w:p>
        </w:tc>
        <w:tc>
          <w:tcPr>
            <w:tcW w:w="1318" w:type="dxa"/>
            <w:vAlign w:val="center"/>
          </w:tcPr>
          <w:p w14:paraId="303E7FFA">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12.93%</w:t>
            </w:r>
          </w:p>
        </w:tc>
        <w:tc>
          <w:tcPr>
            <w:tcW w:w="2167" w:type="dxa"/>
            <w:vAlign w:val="center"/>
          </w:tcPr>
          <w:p w14:paraId="2E83BCA3">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[11.8,15.3]</w:t>
            </w:r>
          </w:p>
        </w:tc>
      </w:tr>
      <w:tr w14:paraId="294DD77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3AFD357B">
            <w:pPr>
              <w:jc w:val="center"/>
              <w:rPr>
                <w:rFonts w:ascii="Times New Roman" w:hAnsi="Times New Roman" w:eastAsia="宋体" w:cs="Times New Roman"/>
                <w:b w:val="0"/>
                <w:bCs/>
                <w:color w:val="000000"/>
                <w:sz w:val="22"/>
              </w:rPr>
            </w:pPr>
            <w:r>
              <w:rPr>
                <w:rFonts w:ascii="Times New Roman" w:hAnsi="Times New Roman" w:eastAsia="宋体" w:cs="Times New Roman"/>
                <w:b w:val="0"/>
                <w:bCs w:val="0"/>
                <w:color w:val="000000"/>
                <w:sz w:val="22"/>
              </w:rPr>
              <w:t>富营养化潜值</w:t>
            </w:r>
          </w:p>
        </w:tc>
        <w:tc>
          <w:tcPr>
            <w:tcW w:w="1601" w:type="dxa"/>
            <w:vAlign w:val="center"/>
          </w:tcPr>
          <w:p w14:paraId="309A9875">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EP(kg PO43-eq)</w:t>
            </w:r>
          </w:p>
        </w:tc>
        <w:tc>
          <w:tcPr>
            <w:tcW w:w="1557" w:type="dxa"/>
            <w:vAlign w:val="center"/>
          </w:tcPr>
          <w:p w14:paraId="1ABE277E">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1.497E+000</w:t>
            </w:r>
          </w:p>
        </w:tc>
        <w:tc>
          <w:tcPr>
            <w:tcW w:w="1318" w:type="dxa"/>
            <w:vAlign w:val="center"/>
          </w:tcPr>
          <w:p w14:paraId="7272BE20">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14.53%</w:t>
            </w:r>
          </w:p>
        </w:tc>
        <w:tc>
          <w:tcPr>
            <w:tcW w:w="2167" w:type="dxa"/>
            <w:vAlign w:val="center"/>
          </w:tcPr>
          <w:p w14:paraId="15C1758E">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[1.28,1.71]</w:t>
            </w:r>
          </w:p>
        </w:tc>
      </w:tr>
      <w:tr w14:paraId="24BFD8B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1978B98A">
            <w:pPr>
              <w:jc w:val="center"/>
              <w:rPr>
                <w:rFonts w:ascii="Times New Roman" w:hAnsi="Times New Roman" w:eastAsia="宋体" w:cs="Times New Roman"/>
                <w:b w:val="0"/>
                <w:bCs/>
                <w:color w:val="000000"/>
                <w:sz w:val="22"/>
              </w:rPr>
            </w:pPr>
            <w:r>
              <w:rPr>
                <w:rFonts w:ascii="Times New Roman" w:hAnsi="Times New Roman" w:eastAsia="宋体" w:cs="Times New Roman"/>
                <w:b w:val="0"/>
                <w:bCs w:val="0"/>
                <w:color w:val="000000"/>
                <w:sz w:val="22"/>
              </w:rPr>
              <w:t>可吸入无机物</w:t>
            </w:r>
          </w:p>
        </w:tc>
        <w:tc>
          <w:tcPr>
            <w:tcW w:w="1601" w:type="dxa"/>
            <w:vAlign w:val="center"/>
          </w:tcPr>
          <w:p w14:paraId="12D56CEA">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RI(kg PM2.5 eq)</w:t>
            </w:r>
          </w:p>
        </w:tc>
        <w:tc>
          <w:tcPr>
            <w:tcW w:w="1557" w:type="dxa"/>
            <w:vAlign w:val="center"/>
          </w:tcPr>
          <w:p w14:paraId="51F59B5B">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2.620E+000</w:t>
            </w:r>
          </w:p>
        </w:tc>
        <w:tc>
          <w:tcPr>
            <w:tcW w:w="1318" w:type="dxa"/>
            <w:vAlign w:val="center"/>
          </w:tcPr>
          <w:p w14:paraId="7F9A8B8C">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10.80%</w:t>
            </w:r>
          </w:p>
        </w:tc>
        <w:tc>
          <w:tcPr>
            <w:tcW w:w="2167" w:type="dxa"/>
            <w:vAlign w:val="center"/>
          </w:tcPr>
          <w:p w14:paraId="6402FD46">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[2.34,2.9]</w:t>
            </w:r>
          </w:p>
        </w:tc>
      </w:tr>
      <w:tr w14:paraId="7E6A2F3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238235A9">
            <w:pPr>
              <w:jc w:val="center"/>
              <w:rPr>
                <w:rFonts w:ascii="Times New Roman" w:hAnsi="Times New Roman" w:eastAsia="宋体" w:cs="Times New Roman"/>
                <w:b w:val="0"/>
                <w:bCs/>
                <w:color w:val="000000"/>
                <w:sz w:val="22"/>
              </w:rPr>
            </w:pPr>
            <w:r>
              <w:rPr>
                <w:rFonts w:ascii="Times New Roman" w:hAnsi="Times New Roman" w:eastAsia="宋体" w:cs="Times New Roman"/>
                <w:b w:val="0"/>
                <w:bCs w:val="0"/>
                <w:color w:val="000000"/>
                <w:sz w:val="22"/>
              </w:rPr>
              <w:t>臭氧层消耗</w:t>
            </w:r>
          </w:p>
        </w:tc>
        <w:tc>
          <w:tcPr>
            <w:tcW w:w="1601" w:type="dxa"/>
            <w:vAlign w:val="center"/>
          </w:tcPr>
          <w:p w14:paraId="6D954FD5">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ODP(kg CFC-11 eq)</w:t>
            </w:r>
          </w:p>
        </w:tc>
        <w:tc>
          <w:tcPr>
            <w:tcW w:w="1557" w:type="dxa"/>
            <w:vAlign w:val="center"/>
          </w:tcPr>
          <w:p w14:paraId="2769ECF5">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6.401E-006</w:t>
            </w:r>
          </w:p>
        </w:tc>
        <w:tc>
          <w:tcPr>
            <w:tcW w:w="1318" w:type="dxa"/>
            <w:vAlign w:val="center"/>
          </w:tcPr>
          <w:p w14:paraId="50AF0B91">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6.52%</w:t>
            </w:r>
          </w:p>
        </w:tc>
        <w:tc>
          <w:tcPr>
            <w:tcW w:w="2167" w:type="dxa"/>
            <w:vAlign w:val="center"/>
          </w:tcPr>
          <w:p w14:paraId="2F37EFB4">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[5.98E-06,6.81E-06]</w:t>
            </w:r>
          </w:p>
        </w:tc>
      </w:tr>
      <w:tr w14:paraId="25BB885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663" w:type="dxa"/>
            <w:vAlign w:val="center"/>
          </w:tcPr>
          <w:p w14:paraId="59D0E970">
            <w:pPr>
              <w:jc w:val="center"/>
              <w:rPr>
                <w:rFonts w:ascii="Times New Roman" w:hAnsi="Times New Roman" w:eastAsia="宋体" w:cs="Times New Roman"/>
                <w:b w:val="0"/>
                <w:bCs/>
                <w:color w:val="000000"/>
                <w:sz w:val="22"/>
              </w:rPr>
            </w:pPr>
            <w:r>
              <w:rPr>
                <w:rFonts w:ascii="Times New Roman" w:hAnsi="Times New Roman" w:eastAsia="宋体" w:cs="Times New Roman"/>
                <w:b w:val="0"/>
                <w:bCs w:val="0"/>
                <w:color w:val="000000"/>
                <w:sz w:val="22"/>
              </w:rPr>
              <w:t>光化学臭氧合成</w:t>
            </w:r>
          </w:p>
        </w:tc>
        <w:tc>
          <w:tcPr>
            <w:tcW w:w="1601" w:type="dxa"/>
            <w:vAlign w:val="center"/>
          </w:tcPr>
          <w:p w14:paraId="631F98E1">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POFP(kg NMVOC  eq)</w:t>
            </w:r>
          </w:p>
        </w:tc>
        <w:tc>
          <w:tcPr>
            <w:tcW w:w="1557" w:type="dxa"/>
            <w:vAlign w:val="center"/>
          </w:tcPr>
          <w:p w14:paraId="6B1D5B91">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1.228E+000</w:t>
            </w:r>
          </w:p>
        </w:tc>
        <w:tc>
          <w:tcPr>
            <w:tcW w:w="1318" w:type="dxa"/>
            <w:vAlign w:val="center"/>
          </w:tcPr>
          <w:p w14:paraId="61CA339A">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11.26%</w:t>
            </w:r>
          </w:p>
        </w:tc>
        <w:tc>
          <w:tcPr>
            <w:tcW w:w="2167" w:type="dxa"/>
            <w:vAlign w:val="center"/>
          </w:tcPr>
          <w:p w14:paraId="05192ADB">
            <w:pPr>
              <w:jc w:val="center"/>
              <w:rPr>
                <w:rFonts w:ascii="Times New Roman" w:hAnsi="Times New Roman" w:eastAsia="宋体" w:cs="Times New Roman"/>
                <w:color w:val="000000"/>
                <w:sz w:val="22"/>
              </w:rPr>
            </w:pPr>
            <w:r>
              <w:rPr>
                <w:rFonts w:ascii="Times New Roman" w:hAnsi="Times New Roman" w:eastAsia="宋体" w:cs="Times New Roman"/>
                <w:color w:val="000000"/>
                <w:sz w:val="22"/>
                <w:szCs w:val="24"/>
              </w:rPr>
              <w:t>[1.09,1.37]</w:t>
            </w:r>
          </w:p>
        </w:tc>
      </w:tr>
    </w:tbl>
    <w:p w14:paraId="123431F6">
      <w:pPr>
        <w:pStyle w:val="14"/>
        <w:ind w:left="0" w:firstLine="0"/>
        <w:rPr>
          <w:rFonts w:eastAsia="黑体"/>
          <w:snapToGrid w:val="0"/>
          <w:color w:val="FF0000"/>
          <w:sz w:val="28"/>
          <w:szCs w:val="30"/>
          <w:lang w:eastAsia="zh-CN"/>
        </w:rPr>
      </w:pPr>
    </w:p>
    <w:p w14:paraId="5721B3CF">
      <w:pPr>
        <w:rPr>
          <w:szCs w:val="21"/>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51ED45-4992-46F1-BAB9-5B63BF438FB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C9246B4-17EB-4619-A3F8-52346EC7A09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微软雅黑"/>
    <w:panose1 w:val="00000000000000000000"/>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3" w:fontKey="{912DDCE1-7F78-4AB2-9292-A8A5C10EAF85}"/>
  </w:font>
  <w:font w:name="方正仿宋_GB2312">
    <w:altName w:val="仿宋"/>
    <w:panose1 w:val="00000000000000000000"/>
    <w:charset w:val="86"/>
    <w:family w:val="auto"/>
    <w:pitch w:val="default"/>
    <w:sig w:usb0="00000000" w:usb1="00000000" w:usb2="00000012" w:usb3="00000000" w:csb0="00040001" w:csb1="00000000"/>
    <w:embedRegular r:id="rId4" w:fontKey="{68B185F7-CD9C-4373-9CB3-CA36021C88AD}"/>
  </w:font>
  <w:font w:name="仿宋">
    <w:panose1 w:val="02010609060101010101"/>
    <w:charset w:val="86"/>
    <w:family w:val="modern"/>
    <w:pitch w:val="default"/>
    <w:sig w:usb0="800002BF" w:usb1="38CF7CFA" w:usb2="00000016" w:usb3="00000000" w:csb0="00040001" w:csb1="00000000"/>
    <w:embedRegular r:id="rId5" w:fontKey="{B5AB505F-2345-424C-B3CC-BF4F77C6A414}"/>
  </w:font>
  <w:font w:name="楷体">
    <w:panose1 w:val="02010609060101010101"/>
    <w:charset w:val="86"/>
    <w:family w:val="modern"/>
    <w:pitch w:val="default"/>
    <w:sig w:usb0="800002BF" w:usb1="38CF7CFA" w:usb2="00000016" w:usb3="00000000" w:csb0="00040001" w:csb1="00000000"/>
    <w:embedRegular r:id="rId6" w:fontKey="{5FE19E14-6118-42F4-9BED-D5E0CD72FDEF}"/>
  </w:font>
  <w:font w:name="WPSEMBED2">
    <w:panose1 w:val="02010609030101010101"/>
    <w:charset w:val="86"/>
    <w:family w:val="auto"/>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embedRegular r:id="rId7" w:fontKey="{6CDF90C8-346E-4398-A8DE-3B3A6E4C9FD5}"/>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7325">
    <w:pPr>
      <w:pStyle w:val="17"/>
      <w:jc w:val="center"/>
      <w:rPr>
        <w:rFonts w:eastAsia="宋体"/>
      </w:rPr>
    </w:pPr>
    <w:r>
      <w:rPr>
        <w:rFonts w:eastAsia="宋体"/>
      </w:rPr>
      <w:fldChar w:fldCharType="begin"/>
    </w:r>
    <w:r>
      <w:rPr>
        <w:rFonts w:eastAsia="宋体"/>
      </w:rPr>
      <w:instrText xml:space="preserve">PAGE   \* MERGEFORMAT</w:instrText>
    </w:r>
    <w:r>
      <w:rPr>
        <w:rFonts w:eastAsia="宋体"/>
      </w:rPr>
      <w:fldChar w:fldCharType="separate"/>
    </w:r>
    <w:r>
      <w:rPr>
        <w:rFonts w:eastAsia="宋体"/>
        <w:lang w:val="zh-CN"/>
      </w:rPr>
      <w:t>1</w:t>
    </w:r>
    <w:r>
      <w:rPr>
        <w:rFonts w:eastAsia="宋体"/>
      </w:rPr>
      <w:fldChar w:fldCharType="end"/>
    </w:r>
  </w:p>
  <w:p w14:paraId="77F71B51">
    <w:pPr>
      <w:pStyle w:val="17"/>
      <w:ind w:firstLine="0"/>
      <w:rPr>
        <w:rFonts w:eastAsia="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6E0FD">
    <w:pPr>
      <w:pStyle w:val="17"/>
      <w:jc w:val="center"/>
    </w:pPr>
  </w:p>
  <w:p w14:paraId="03399E88">
    <w:pPr>
      <w:pStyle w:val="17"/>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6D1A0">
    <w:pPr>
      <w:pStyle w:val="17"/>
      <w:jc w:val="center"/>
      <w:rPr>
        <w:rFonts w:eastAsia="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B8D4E0">
                          <w:pPr>
                            <w:pStyle w:val="17"/>
                            <w:jc w:val="center"/>
                          </w:pPr>
                          <w:r>
                            <w:rPr>
                              <w:rFonts w:eastAsia="宋体"/>
                            </w:rPr>
                            <w:fldChar w:fldCharType="begin"/>
                          </w:r>
                          <w:r>
                            <w:rPr>
                              <w:rFonts w:eastAsia="宋体"/>
                            </w:rPr>
                            <w:instrText xml:space="preserve">PAGE   \* MERGEFORMAT</w:instrText>
                          </w:r>
                          <w:r>
                            <w:rPr>
                              <w:rFonts w:eastAsia="宋体"/>
                            </w:rPr>
                            <w:fldChar w:fldCharType="separate"/>
                          </w:r>
                          <w:r>
                            <w:rPr>
                              <w:rFonts w:eastAsia="宋体"/>
                              <w:lang w:val="zh-CN"/>
                            </w:rPr>
                            <w:t>14</w:t>
                          </w:r>
                          <w:r>
                            <w:rPr>
                              <w:rFonts w:eastAsia="宋体"/>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FB8D4E0">
                    <w:pPr>
                      <w:pStyle w:val="17"/>
                      <w:jc w:val="center"/>
                    </w:pPr>
                    <w:r>
                      <w:rPr>
                        <w:rFonts w:eastAsia="宋体"/>
                      </w:rPr>
                      <w:fldChar w:fldCharType="begin"/>
                    </w:r>
                    <w:r>
                      <w:rPr>
                        <w:rFonts w:eastAsia="宋体"/>
                      </w:rPr>
                      <w:instrText xml:space="preserve">PAGE   \* MERGEFORMAT</w:instrText>
                    </w:r>
                    <w:r>
                      <w:rPr>
                        <w:rFonts w:eastAsia="宋体"/>
                      </w:rPr>
                      <w:fldChar w:fldCharType="separate"/>
                    </w:r>
                    <w:r>
                      <w:rPr>
                        <w:rFonts w:eastAsia="宋体"/>
                        <w:lang w:val="zh-CN"/>
                      </w:rPr>
                      <w:t>14</w:t>
                    </w:r>
                    <w:r>
                      <w:rPr>
                        <w:rFonts w:eastAsia="宋体"/>
                      </w:rPr>
                      <w:fldChar w:fldCharType="end"/>
                    </w:r>
                  </w:p>
                </w:txbxContent>
              </v:textbox>
            </v:shape>
          </w:pict>
        </mc:Fallback>
      </mc:AlternateContent>
    </w:r>
  </w:p>
  <w:p w14:paraId="534141B6">
    <w:pPr>
      <w:pStyle w:val="17"/>
      <w:ind w:firstLine="0"/>
      <w:rPr>
        <w:rFonts w:eastAsia="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2B492">
    <w:pPr>
      <w:pStyle w:val="12"/>
      <w:spacing w:line="360" w:lineRule="auto"/>
      <w:jc w:val="center"/>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AE786A"/>
    <w:multiLevelType w:val="singleLevel"/>
    <w:tmpl w:val="01AE786A"/>
    <w:lvl w:ilvl="0" w:tentative="0">
      <w:start w:val="1"/>
      <w:numFmt w:val="lowerLetter"/>
      <w:suff w:val="space"/>
      <w:lvlText w:val="%1)"/>
      <w:lvlJc w:val="left"/>
    </w:lvl>
  </w:abstractNum>
  <w:abstractNum w:abstractNumId="1">
    <w:nsid w:val="03D67C5E"/>
    <w:multiLevelType w:val="singleLevel"/>
    <w:tmpl w:val="03D67C5E"/>
    <w:lvl w:ilvl="0" w:tentative="0">
      <w:start w:val="1"/>
      <w:numFmt w:val="decimal"/>
      <w:lvlText w:val="(%1)"/>
      <w:lvlJc w:val="left"/>
      <w:pPr>
        <w:ind w:left="425" w:hanging="425"/>
      </w:pPr>
      <w:rPr>
        <w:rFonts w:hint="default"/>
      </w:rPr>
    </w:lvl>
  </w:abstractNum>
  <w:abstractNum w:abstractNumId="2">
    <w:nsid w:val="07ED3FEA"/>
    <w:multiLevelType w:val="multilevel"/>
    <w:tmpl w:val="07ED3FEA"/>
    <w:lvl w:ilvl="0" w:tentative="0">
      <w:start w:val="1"/>
      <w:numFmt w:val="none"/>
      <w:pStyle w:val="58"/>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eastAsia="黑体" w:hAnsiTheme="minorHAnsi"/>
        <w:b w:val="0"/>
        <w:i w:val="0"/>
        <w:sz w:val="21"/>
      </w:rPr>
    </w:lvl>
    <w:lvl w:ilvl="2" w:tentative="0">
      <w:start w:val="1"/>
      <w:numFmt w:val="decimal"/>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suff w:val="nothing"/>
      <w:lvlText w:val="%10.%2.%3.%4.%5 "/>
      <w:lvlJc w:val="left"/>
      <w:pPr>
        <w:ind w:left="0" w:firstLine="0"/>
      </w:pPr>
      <w:rPr>
        <w:rFonts w:hint="eastAsia" w:ascii="黑体" w:eastAsia="黑体" w:hAnsiTheme="minorHAnsi"/>
        <w:b w:val="0"/>
        <w:i w:val="0"/>
        <w:sz w:val="21"/>
      </w:rPr>
    </w:lvl>
    <w:lvl w:ilvl="5" w:tentative="0">
      <w:start w:val="1"/>
      <w:numFmt w:val="decimal"/>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1050010B"/>
    <w:multiLevelType w:val="multilevel"/>
    <w:tmpl w:val="1050010B"/>
    <w:lvl w:ilvl="0" w:tentative="0">
      <w:start w:val="1"/>
      <w:numFmt w:val="bullet"/>
      <w:lvlText w:val=""/>
      <w:lvlJc w:val="left"/>
      <w:pPr>
        <w:ind w:left="660" w:hanging="420"/>
      </w:pPr>
      <w:rPr>
        <w:rFonts w:hint="default" w:ascii="Wingdings" w:hAnsi="Wingdings"/>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4">
    <w:nsid w:val="488548DA"/>
    <w:multiLevelType w:val="singleLevel"/>
    <w:tmpl w:val="488548DA"/>
    <w:lvl w:ilvl="0" w:tentative="0">
      <w:start w:val="1"/>
      <w:numFmt w:val="bullet"/>
      <w:lvlText w:val=""/>
      <w:lvlJc w:val="left"/>
      <w:pPr>
        <w:ind w:left="420" w:hanging="420"/>
      </w:pPr>
      <w:rPr>
        <w:rFonts w:hint="default" w:ascii="Wingdings" w:hAnsi="Wingdings"/>
      </w:rPr>
    </w:lvl>
  </w:abstractNum>
  <w:abstractNum w:abstractNumId="5">
    <w:nsid w:val="5712A526"/>
    <w:multiLevelType w:val="singleLevel"/>
    <w:tmpl w:val="5712A526"/>
    <w:lvl w:ilvl="0" w:tentative="0">
      <w:start w:val="1"/>
      <w:numFmt w:val="decimal"/>
      <w:lvlText w:val="%1."/>
      <w:lvlJc w:val="left"/>
      <w:pPr>
        <w:tabs>
          <w:tab w:val="left" w:pos="312"/>
        </w:tabs>
      </w:pPr>
    </w:lvl>
  </w:abstractNum>
  <w:abstractNum w:abstractNumId="6">
    <w:nsid w:val="57C3FE52"/>
    <w:multiLevelType w:val="multilevel"/>
    <w:tmpl w:val="57C3FE52"/>
    <w:lvl w:ilvl="0" w:tentative="0">
      <w:start w:val="1"/>
      <w:numFmt w:val="decimal"/>
      <w:pStyle w:val="47"/>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DE435E0"/>
    <w:multiLevelType w:val="multilevel"/>
    <w:tmpl w:val="5DE435E0"/>
    <w:lvl w:ilvl="0" w:tentative="0">
      <w:start w:val="1"/>
      <w:numFmt w:val="decimal"/>
      <w:pStyle w:val="50"/>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CF9FB8D"/>
    <w:multiLevelType w:val="singleLevel"/>
    <w:tmpl w:val="6CF9FB8D"/>
    <w:lvl w:ilvl="0" w:tentative="0">
      <w:start w:val="1"/>
      <w:numFmt w:val="lowerLetter"/>
      <w:lvlText w:val="%1)"/>
      <w:lvlJc w:val="left"/>
      <w:pPr>
        <w:tabs>
          <w:tab w:val="left" w:pos="312"/>
        </w:tabs>
      </w:pPr>
    </w:lvl>
  </w:abstractNum>
  <w:abstractNum w:abstractNumId="9">
    <w:nsid w:val="735CAB91"/>
    <w:multiLevelType w:val="singleLevel"/>
    <w:tmpl w:val="735CAB91"/>
    <w:lvl w:ilvl="0" w:tentative="0">
      <w:start w:val="8"/>
      <w:numFmt w:val="decimal"/>
      <w:suff w:val="space"/>
      <w:lvlText w:val="%1."/>
      <w:lvlJc w:val="left"/>
    </w:lvl>
  </w:abstractNum>
  <w:abstractNum w:abstractNumId="10">
    <w:nsid w:val="7EE55D88"/>
    <w:multiLevelType w:val="multilevel"/>
    <w:tmpl w:val="7EE55D8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7"/>
  </w:num>
  <w:num w:numId="3">
    <w:abstractNumId w:val="2"/>
  </w:num>
  <w:num w:numId="4">
    <w:abstractNumId w:val="0"/>
  </w:num>
  <w:num w:numId="5">
    <w:abstractNumId w:val="4"/>
  </w:num>
  <w:num w:numId="6">
    <w:abstractNumId w:val="1"/>
  </w:num>
  <w:num w:numId="7">
    <w:abstractNumId w:val="8"/>
  </w:num>
  <w:num w:numId="8">
    <w:abstractNumId w:val="9"/>
  </w:num>
  <w:num w:numId="9">
    <w:abstractNumId w:val="5"/>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F16"/>
    <w:rsid w:val="000114F3"/>
    <w:rsid w:val="00182BD1"/>
    <w:rsid w:val="00267F16"/>
    <w:rsid w:val="00363B47"/>
    <w:rsid w:val="006757BF"/>
    <w:rsid w:val="008F4DF1"/>
    <w:rsid w:val="00D36BD1"/>
    <w:rsid w:val="00E502D2"/>
    <w:rsid w:val="03CD7D4D"/>
    <w:rsid w:val="05032597"/>
    <w:rsid w:val="07CF4DE0"/>
    <w:rsid w:val="08755B5A"/>
    <w:rsid w:val="0A335E1C"/>
    <w:rsid w:val="0BBE19A7"/>
    <w:rsid w:val="0D1961C4"/>
    <w:rsid w:val="0F0B7115"/>
    <w:rsid w:val="0F5861EC"/>
    <w:rsid w:val="112B7FD6"/>
    <w:rsid w:val="15C5253B"/>
    <w:rsid w:val="161A068C"/>
    <w:rsid w:val="18312148"/>
    <w:rsid w:val="18C809B6"/>
    <w:rsid w:val="195C76F5"/>
    <w:rsid w:val="1A2878FA"/>
    <w:rsid w:val="1C485DE6"/>
    <w:rsid w:val="1E2A5ADC"/>
    <w:rsid w:val="1E586CB2"/>
    <w:rsid w:val="1E966E97"/>
    <w:rsid w:val="2039253E"/>
    <w:rsid w:val="257007B0"/>
    <w:rsid w:val="26655261"/>
    <w:rsid w:val="26F32B8B"/>
    <w:rsid w:val="27D0345D"/>
    <w:rsid w:val="27DB3472"/>
    <w:rsid w:val="28BF17CA"/>
    <w:rsid w:val="29060B21"/>
    <w:rsid w:val="297445E7"/>
    <w:rsid w:val="2C867DBF"/>
    <w:rsid w:val="2E372A60"/>
    <w:rsid w:val="314C6BEA"/>
    <w:rsid w:val="321524B8"/>
    <w:rsid w:val="34884FD5"/>
    <w:rsid w:val="37355187"/>
    <w:rsid w:val="37983B97"/>
    <w:rsid w:val="3813283F"/>
    <w:rsid w:val="3BDD2CCC"/>
    <w:rsid w:val="3E186257"/>
    <w:rsid w:val="3F544847"/>
    <w:rsid w:val="41697CCB"/>
    <w:rsid w:val="417510D3"/>
    <w:rsid w:val="42E573C8"/>
    <w:rsid w:val="4413104E"/>
    <w:rsid w:val="44323D2B"/>
    <w:rsid w:val="46E17D35"/>
    <w:rsid w:val="47720CEB"/>
    <w:rsid w:val="4FD30196"/>
    <w:rsid w:val="516F7F41"/>
    <w:rsid w:val="51DF6DA3"/>
    <w:rsid w:val="530A1AF4"/>
    <w:rsid w:val="54EE229A"/>
    <w:rsid w:val="55C8657F"/>
    <w:rsid w:val="5BBD4D53"/>
    <w:rsid w:val="5D93498E"/>
    <w:rsid w:val="61B75BC9"/>
    <w:rsid w:val="61BC20AC"/>
    <w:rsid w:val="6D01559E"/>
    <w:rsid w:val="6E03170B"/>
    <w:rsid w:val="6E464D52"/>
    <w:rsid w:val="6E5F44EB"/>
    <w:rsid w:val="77C7726F"/>
    <w:rsid w:val="7A552B86"/>
    <w:rsid w:val="7AD96B65"/>
    <w:rsid w:val="7AF97356"/>
    <w:rsid w:val="7DA13DAB"/>
    <w:rsid w:val="7FEA3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4">
    <w:name w:val="heading 2"/>
    <w:basedOn w:val="1"/>
    <w:next w:val="1"/>
    <w:link w:val="29"/>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3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3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3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8">
    <w:name w:val="heading 6"/>
    <w:basedOn w:val="1"/>
    <w:next w:val="1"/>
    <w:link w:val="33"/>
    <w:semiHidden/>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3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12">
    <w:name w:val="Normal Indent"/>
    <w:basedOn w:val="1"/>
    <w:semiHidden/>
    <w:unhideWhenUsed/>
    <w:qFormat/>
    <w:uiPriority w:val="99"/>
    <w:pPr>
      <w:spacing w:line="300" w:lineRule="auto"/>
      <w:ind w:firstLine="420" w:firstLineChars="200"/>
    </w:pPr>
    <w:rPr>
      <w:rFonts w:ascii="Times New Roman"/>
      <w:szCs w:val="24"/>
    </w:rPr>
  </w:style>
  <w:style w:type="paragraph" w:styleId="13">
    <w:name w:val="annotation text"/>
    <w:basedOn w:val="1"/>
    <w:semiHidden/>
    <w:unhideWhenUsed/>
    <w:qFormat/>
    <w:uiPriority w:val="99"/>
    <w:pPr>
      <w:jc w:val="left"/>
    </w:pPr>
  </w:style>
  <w:style w:type="paragraph" w:styleId="14">
    <w:name w:val="Body Text"/>
    <w:basedOn w:val="1"/>
    <w:qFormat/>
    <w:uiPriority w:val="1"/>
    <w:pPr>
      <w:spacing w:before="144"/>
      <w:ind w:left="120" w:firstLine="419"/>
      <w:jc w:val="left"/>
    </w:pPr>
    <w:rPr>
      <w:rFonts w:ascii="宋体" w:hAnsi="宋体" w:cs="Times New Roman"/>
      <w:kern w:val="0"/>
      <w:sz w:val="24"/>
      <w:szCs w:val="24"/>
      <w:lang w:eastAsia="en-US"/>
    </w:rPr>
  </w:style>
  <w:style w:type="paragraph" w:styleId="15">
    <w:name w:val="toc 3"/>
    <w:basedOn w:val="1"/>
    <w:next w:val="1"/>
    <w:semiHidden/>
    <w:unhideWhenUsed/>
    <w:qFormat/>
    <w:uiPriority w:val="39"/>
    <w:pPr>
      <w:ind w:left="840" w:leftChars="400"/>
    </w:pPr>
  </w:style>
  <w:style w:type="paragraph" w:styleId="16">
    <w:name w:val="Plain Text"/>
    <w:basedOn w:val="1"/>
    <w:qFormat/>
    <w:uiPriority w:val="0"/>
    <w:rPr>
      <w:rFonts w:ascii="宋体" w:hAnsi="Courier New" w:eastAsia="宋体" w:cs="Courier New"/>
      <w:szCs w:val="21"/>
    </w:rPr>
  </w:style>
  <w:style w:type="paragraph" w:styleId="17">
    <w:name w:val="footer"/>
    <w:basedOn w:val="1"/>
    <w:unhideWhenUsed/>
    <w:qFormat/>
    <w:uiPriority w:val="99"/>
    <w:pPr>
      <w:tabs>
        <w:tab w:val="center" w:pos="4153"/>
        <w:tab w:val="right" w:pos="8306"/>
      </w:tabs>
      <w:adjustRightInd w:val="0"/>
      <w:snapToGrid w:val="0"/>
      <w:spacing w:line="420" w:lineRule="atLeast"/>
      <w:ind w:firstLine="522"/>
      <w:jc w:val="left"/>
      <w:textAlignment w:val="baseline"/>
    </w:pPr>
    <w:rPr>
      <w:rFonts w:ascii="Times New Roman" w:hAnsi="Times New Roman" w:cs="Times New Roman"/>
      <w:color w:val="000000"/>
      <w:spacing w:val="10"/>
      <w:kern w:val="0"/>
      <w:sz w:val="18"/>
      <w:szCs w:val="18"/>
    </w:rPr>
  </w:style>
  <w:style w:type="paragraph" w:styleId="18">
    <w:name w:val="header"/>
    <w:basedOn w:val="1"/>
    <w:unhideWhenUsed/>
    <w:qFormat/>
    <w:uiPriority w:val="0"/>
    <w:pPr>
      <w:pBdr>
        <w:bottom w:val="single" w:color="auto" w:sz="6" w:space="1"/>
      </w:pBdr>
      <w:tabs>
        <w:tab w:val="center" w:pos="4153"/>
        <w:tab w:val="right" w:pos="8306"/>
      </w:tabs>
      <w:adjustRightInd w:val="0"/>
      <w:snapToGrid w:val="0"/>
      <w:spacing w:line="420" w:lineRule="atLeast"/>
      <w:ind w:firstLine="522"/>
      <w:jc w:val="center"/>
      <w:textAlignment w:val="baseline"/>
    </w:pPr>
    <w:rPr>
      <w:rFonts w:ascii="Times New Roman" w:hAnsi="Times New Roman" w:cs="Times New Roman"/>
      <w:color w:val="000000"/>
      <w:spacing w:val="10"/>
      <w:kern w:val="0"/>
      <w:sz w:val="18"/>
      <w:szCs w:val="18"/>
    </w:rPr>
  </w:style>
  <w:style w:type="paragraph" w:styleId="19">
    <w:name w:val="toc 1"/>
    <w:basedOn w:val="1"/>
    <w:next w:val="1"/>
    <w:unhideWhenUsed/>
    <w:qFormat/>
    <w:uiPriority w:val="39"/>
  </w:style>
  <w:style w:type="paragraph" w:styleId="20">
    <w:name w:val="Subtitle"/>
    <w:basedOn w:val="1"/>
    <w:next w:val="1"/>
    <w:link w:val="3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toc 2"/>
    <w:basedOn w:val="1"/>
    <w:next w:val="1"/>
    <w:unhideWhenUsed/>
    <w:qFormat/>
    <w:uiPriority w:val="39"/>
    <w:pPr>
      <w:ind w:left="420" w:leftChars="200"/>
    </w:pPr>
  </w:style>
  <w:style w:type="paragraph" w:styleId="22">
    <w:name w:val="Normal (Web)"/>
    <w:basedOn w:val="1"/>
    <w:semiHidden/>
    <w:unhideWhenUsed/>
    <w:qFormat/>
    <w:uiPriority w:val="99"/>
    <w:rPr>
      <w:sz w:val="24"/>
    </w:rPr>
  </w:style>
  <w:style w:type="paragraph" w:styleId="23">
    <w:name w:val="Title"/>
    <w:basedOn w:val="1"/>
    <w:next w:val="1"/>
    <w:link w:val="3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25">
    <w:name w:val="Table Grid"/>
    <w:basedOn w:val="2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customStyle="1" w:styleId="28">
    <w:name w:val="标题 1 Char"/>
    <w:basedOn w:val="26"/>
    <w:link w:val="3"/>
    <w:qFormat/>
    <w:uiPriority w:val="9"/>
    <w:rPr>
      <w:rFonts w:asciiTheme="majorHAnsi" w:hAnsiTheme="majorHAnsi" w:eastAsiaTheme="majorEastAsia" w:cstheme="majorBidi"/>
      <w:color w:val="104862" w:themeColor="accent1" w:themeShade="BF"/>
      <w:sz w:val="48"/>
      <w:szCs w:val="48"/>
    </w:rPr>
  </w:style>
  <w:style w:type="character" w:customStyle="1" w:styleId="29">
    <w:name w:val="标题 2 Char"/>
    <w:basedOn w:val="26"/>
    <w:link w:val="4"/>
    <w:qFormat/>
    <w:uiPriority w:val="9"/>
    <w:rPr>
      <w:rFonts w:asciiTheme="majorHAnsi" w:hAnsiTheme="majorHAnsi" w:eastAsiaTheme="majorEastAsia" w:cstheme="majorBidi"/>
      <w:color w:val="104862" w:themeColor="accent1" w:themeShade="BF"/>
      <w:sz w:val="40"/>
      <w:szCs w:val="40"/>
    </w:rPr>
  </w:style>
  <w:style w:type="character" w:customStyle="1" w:styleId="30">
    <w:name w:val="标题 3 Char"/>
    <w:basedOn w:val="26"/>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31">
    <w:name w:val="标题 4 Char"/>
    <w:basedOn w:val="26"/>
    <w:link w:val="6"/>
    <w:semiHidden/>
    <w:qFormat/>
    <w:uiPriority w:val="9"/>
    <w:rPr>
      <w:rFonts w:cstheme="majorBidi"/>
      <w:color w:val="104862" w:themeColor="accent1" w:themeShade="BF"/>
      <w:sz w:val="28"/>
      <w:szCs w:val="28"/>
    </w:rPr>
  </w:style>
  <w:style w:type="character" w:customStyle="1" w:styleId="32">
    <w:name w:val="标题 5 Char"/>
    <w:basedOn w:val="26"/>
    <w:link w:val="7"/>
    <w:semiHidden/>
    <w:qFormat/>
    <w:uiPriority w:val="9"/>
    <w:rPr>
      <w:rFonts w:cstheme="majorBidi"/>
      <w:color w:val="104862" w:themeColor="accent1" w:themeShade="BF"/>
      <w:sz w:val="24"/>
      <w:szCs w:val="24"/>
    </w:rPr>
  </w:style>
  <w:style w:type="character" w:customStyle="1" w:styleId="33">
    <w:name w:val="标题 6 Char"/>
    <w:basedOn w:val="26"/>
    <w:link w:val="8"/>
    <w:semiHidden/>
    <w:qFormat/>
    <w:uiPriority w:val="9"/>
    <w:rPr>
      <w:rFonts w:cstheme="majorBidi"/>
      <w:b/>
      <w:bCs/>
      <w:color w:val="104862" w:themeColor="accent1" w:themeShade="BF"/>
    </w:rPr>
  </w:style>
  <w:style w:type="character" w:customStyle="1" w:styleId="34">
    <w:name w:val="标题 7 Char"/>
    <w:basedOn w:val="26"/>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5">
    <w:name w:val="标题 8 Char"/>
    <w:basedOn w:val="26"/>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6">
    <w:name w:val="标题 9 Char"/>
    <w:basedOn w:val="26"/>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7">
    <w:name w:val="标题 Char"/>
    <w:basedOn w:val="26"/>
    <w:link w:val="23"/>
    <w:qFormat/>
    <w:uiPriority w:val="10"/>
    <w:rPr>
      <w:rFonts w:asciiTheme="majorHAnsi" w:hAnsiTheme="majorHAnsi" w:eastAsiaTheme="majorEastAsia" w:cstheme="majorBidi"/>
      <w:spacing w:val="-10"/>
      <w:kern w:val="28"/>
      <w:sz w:val="56"/>
      <w:szCs w:val="56"/>
    </w:rPr>
  </w:style>
  <w:style w:type="character" w:customStyle="1" w:styleId="38">
    <w:name w:val="副标题 Char"/>
    <w:basedOn w:val="26"/>
    <w:link w:val="20"/>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9">
    <w:name w:val="Quote"/>
    <w:basedOn w:val="1"/>
    <w:next w:val="1"/>
    <w:link w:val="4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0">
    <w:name w:val="引用 Char"/>
    <w:basedOn w:val="26"/>
    <w:link w:val="39"/>
    <w:qFormat/>
    <w:uiPriority w:val="29"/>
    <w:rPr>
      <w:i/>
      <w:iCs/>
      <w:color w:val="404040" w:themeColor="text1" w:themeTint="BF"/>
      <w14:textFill>
        <w14:solidFill>
          <w14:schemeClr w14:val="tx1">
            <w14:lumMod w14:val="75000"/>
            <w14:lumOff w14:val="25000"/>
          </w14:schemeClr>
        </w14:solidFill>
      </w14:textFill>
    </w:rPr>
  </w:style>
  <w:style w:type="paragraph" w:styleId="41">
    <w:name w:val="List Paragraph"/>
    <w:basedOn w:val="1"/>
    <w:qFormat/>
    <w:uiPriority w:val="34"/>
    <w:pPr>
      <w:ind w:left="720"/>
      <w:contextualSpacing/>
    </w:pPr>
  </w:style>
  <w:style w:type="character" w:customStyle="1" w:styleId="42">
    <w:name w:val="明显强调1"/>
    <w:basedOn w:val="26"/>
    <w:qFormat/>
    <w:uiPriority w:val="21"/>
    <w:rPr>
      <w:i/>
      <w:iCs/>
      <w:color w:val="104862" w:themeColor="accent1" w:themeShade="BF"/>
    </w:rPr>
  </w:style>
  <w:style w:type="paragraph" w:styleId="43">
    <w:name w:val="Intense Quote"/>
    <w:basedOn w:val="1"/>
    <w:next w:val="1"/>
    <w:link w:val="4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4">
    <w:name w:val="明显引用 Char"/>
    <w:basedOn w:val="26"/>
    <w:link w:val="43"/>
    <w:qFormat/>
    <w:uiPriority w:val="30"/>
    <w:rPr>
      <w:i/>
      <w:iCs/>
      <w:color w:val="104862" w:themeColor="accent1" w:themeShade="BF"/>
    </w:rPr>
  </w:style>
  <w:style w:type="character" w:customStyle="1" w:styleId="45">
    <w:name w:val="明显参考1"/>
    <w:basedOn w:val="26"/>
    <w:qFormat/>
    <w:uiPriority w:val="32"/>
    <w:rPr>
      <w:b/>
      <w:bCs/>
      <w:smallCaps/>
      <w:color w:val="104862" w:themeColor="accent1" w:themeShade="BF"/>
      <w:spacing w:val="5"/>
    </w:rPr>
  </w:style>
  <w:style w:type="character" w:customStyle="1" w:styleId="46">
    <w:name w:val="fontstyle01"/>
    <w:basedOn w:val="26"/>
    <w:qFormat/>
    <w:uiPriority w:val="0"/>
    <w:rPr>
      <w:rFonts w:hint="eastAsia" w:ascii="宋体" w:hAnsi="宋体" w:eastAsia="宋体"/>
      <w:color w:val="000000"/>
      <w:sz w:val="24"/>
      <w:szCs w:val="24"/>
    </w:rPr>
  </w:style>
  <w:style w:type="paragraph" w:customStyle="1" w:styleId="47">
    <w:name w:val="标题1"/>
    <w:basedOn w:val="48"/>
    <w:qFormat/>
    <w:uiPriority w:val="0"/>
    <w:pPr>
      <w:numPr>
        <w:ilvl w:val="0"/>
        <w:numId w:val="1"/>
      </w:numPr>
      <w:outlineLvl w:val="0"/>
    </w:pPr>
    <w:rPr>
      <w:snapToGrid w:val="0"/>
      <w:color w:val="000000"/>
    </w:rPr>
  </w:style>
  <w:style w:type="paragraph" w:customStyle="1" w:styleId="48">
    <w:name w:val="大节标题"/>
    <w:basedOn w:val="4"/>
    <w:qFormat/>
    <w:uiPriority w:val="0"/>
    <w:pPr>
      <w:spacing w:before="480" w:after="120" w:line="400" w:lineRule="exact"/>
    </w:pPr>
  </w:style>
  <w:style w:type="paragraph" w:customStyle="1" w:styleId="4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0">
    <w:name w:val="样式1"/>
    <w:basedOn w:val="41"/>
    <w:qFormat/>
    <w:uiPriority w:val="0"/>
    <w:pPr>
      <w:numPr>
        <w:ilvl w:val="0"/>
        <w:numId w:val="2"/>
      </w:numPr>
      <w:spacing w:line="360" w:lineRule="auto"/>
      <w:ind w:firstLine="0"/>
    </w:pPr>
    <w:rPr>
      <w:rFonts w:ascii="Times New Roman" w:hAnsi="Times New Roman" w:cs="Times New Roman"/>
      <w:sz w:val="24"/>
      <w:szCs w:val="24"/>
    </w:rPr>
  </w:style>
  <w:style w:type="paragraph" w:customStyle="1" w:styleId="51">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52">
    <w:name w:val="Table Text"/>
    <w:basedOn w:val="1"/>
    <w:semiHidden/>
    <w:qFormat/>
    <w:uiPriority w:val="0"/>
    <w:rPr>
      <w:rFonts w:eastAsia="Arial"/>
    </w:rPr>
  </w:style>
  <w:style w:type="table" w:customStyle="1" w:styleId="53">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54">
    <w:name w:val="标准文件_文件编号"/>
    <w:basedOn w:val="55"/>
    <w:autoRedefine/>
    <w:qFormat/>
    <w:uiPriority w:val="0"/>
    <w:pPr>
      <w:framePr w:w="9356" w:h="624" w:hRule="exact" w:hSpace="181" w:vSpace="181" w:wrap="auto" w:vAnchor="page" w:hAnchor="page" w:x="1419" w:y="3284"/>
      <w:wordWrap w:val="0"/>
      <w:spacing w:line="280" w:lineRule="exact"/>
      <w:ind w:right="-2" w:firstLine="0" w:firstLineChars="0"/>
      <w:jc w:val="right"/>
    </w:pPr>
    <w:rPr>
      <w:rFonts w:ascii="黑体" w:eastAsia="黑体"/>
      <w:bCs/>
      <w:sz w:val="28"/>
      <w:szCs w:val="28"/>
    </w:rPr>
  </w:style>
  <w:style w:type="paragraph" w:customStyle="1" w:styleId="55">
    <w:name w:val="标准文件_段"/>
    <w:qFormat/>
    <w:uiPriority w:val="0"/>
    <w:pPr>
      <w:autoSpaceDE w:val="0"/>
      <w:autoSpaceDN w:val="0"/>
      <w:ind w:firstLine="420" w:firstLineChars="200"/>
      <w:jc w:val="center"/>
    </w:pPr>
    <w:rPr>
      <w:rFonts w:ascii="宋体" w:hAnsi="Times New Roman" w:eastAsia="宋体" w:cs="Times New Roman"/>
      <w:sz w:val="21"/>
      <w:lang w:val="en-US" w:eastAsia="zh-CN" w:bidi="ar-SA"/>
    </w:rPr>
  </w:style>
  <w:style w:type="paragraph" w:customStyle="1" w:styleId="56">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7">
    <w:name w:val="标准文件_文件名称"/>
    <w:basedOn w:val="55"/>
    <w:next w:val="55"/>
    <w:autoRedefine/>
    <w:qFormat/>
    <w:uiPriority w:val="0"/>
    <w:pPr>
      <w:framePr w:w="9639" w:h="6976" w:hRule="exact" w:wrap="auto" w:vAnchor="page" w:hAnchor="page" w:y="6408"/>
      <w:autoSpaceDE/>
      <w:autoSpaceDN/>
      <w:spacing w:line="700" w:lineRule="exact"/>
      <w:ind w:firstLine="0" w:firstLineChars="0"/>
    </w:pPr>
    <w:rPr>
      <w:rFonts w:ascii="黑体" w:hAnsi="黑体" w:eastAsia="黑体"/>
      <w:bCs/>
      <w:sz w:val="52"/>
    </w:rPr>
  </w:style>
  <w:style w:type="paragraph" w:customStyle="1" w:styleId="58">
    <w:name w:val="标准文件_前言、引言标题"/>
    <w:next w:val="1"/>
    <w:autoRedefine/>
    <w:qFormat/>
    <w:uiPriority w:val="0"/>
    <w:pPr>
      <w:numPr>
        <w:ilvl w:val="0"/>
        <w:numId w:val="3"/>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59">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0">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61">
    <w:name w:val="标准文件_页脚偶数页"/>
    <w:autoRedefine/>
    <w:qFormat/>
    <w:uiPriority w:val="0"/>
    <w:pPr>
      <w:ind w:left="198"/>
    </w:pPr>
    <w:rPr>
      <w:rFonts w:ascii="宋体" w:hAnsi="Times New Roman" w:eastAsia="宋体" w:cs="Times New Roman"/>
      <w:sz w:val="18"/>
      <w:lang w:val="en-US" w:eastAsia="zh-CN" w:bidi="ar-SA"/>
    </w:rPr>
  </w:style>
  <w:style w:type="table" w:customStyle="1" w:styleId="62">
    <w:name w:val="清单表 6 彩色1"/>
    <w:basedOn w:val="24"/>
    <w:qFormat/>
    <w:uiPriority w:val="51"/>
    <w:rPr>
      <w:color w:val="000000"/>
    </w:rPr>
    <w:tblPr>
      <w:tblBorders>
        <w:top w:val="single" w:color="000000" w:sz="4" w:space="0"/>
        <w:bottom w:val="single" w:color="000000" w:sz="4" w:space="0"/>
      </w:tblBorders>
    </w:tblPr>
    <w:tblStylePr w:type="firstRow">
      <w:rPr>
        <w:b/>
        <w:bCs/>
      </w:rPr>
      <w:tcPr>
        <w:tcBorders>
          <w:top w:val="nil"/>
          <w:left w:val="single" w:color="000000" w:sz="4" w:space="0"/>
          <w:bottom w:val="nil"/>
          <w:right w:val="nil"/>
          <w:insideH w:val="nil"/>
          <w:insideV w:val="nil"/>
          <w:tl2br w:val="nil"/>
          <w:tr2bl w:val="nil"/>
        </w:tcBorders>
      </w:tcPr>
    </w:tblStylePr>
    <w:tblStylePr w:type="lastRow">
      <w:rPr>
        <w:b/>
        <w:bCs/>
      </w:rPr>
      <w:tcPr>
        <w:tcBorders>
          <w:top w:val="double" w:color="000000"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0.wmf"/><Relationship Id="rId24" Type="http://schemas.openxmlformats.org/officeDocument/2006/relationships/oleObject" Target="embeddings/oleObject8.bin"/><Relationship Id="rId23" Type="http://schemas.openxmlformats.org/officeDocument/2006/relationships/image" Target="media/image9.wmf"/><Relationship Id="rId22" Type="http://schemas.openxmlformats.org/officeDocument/2006/relationships/oleObject" Target="embeddings/oleObject7.bin"/><Relationship Id="rId21" Type="http://schemas.openxmlformats.org/officeDocument/2006/relationships/image" Target="media/image8.w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5.bin"/><Relationship Id="rId17" Type="http://schemas.openxmlformats.org/officeDocument/2006/relationships/image" Target="media/image6.wmf"/><Relationship Id="rId16" Type="http://schemas.openxmlformats.org/officeDocument/2006/relationships/oleObject" Target="embeddings/oleObject4.bin"/><Relationship Id="rId15" Type="http://schemas.openxmlformats.org/officeDocument/2006/relationships/image" Target="media/image5.wmf"/><Relationship Id="rId14" Type="http://schemas.openxmlformats.org/officeDocument/2006/relationships/oleObject" Target="embeddings/oleObject3.bin"/><Relationship Id="rId13" Type="http://schemas.openxmlformats.org/officeDocument/2006/relationships/image" Target="media/image4.wmf"/><Relationship Id="rId12" Type="http://schemas.openxmlformats.org/officeDocument/2006/relationships/oleObject" Target="embeddings/oleObject2.bin"/><Relationship Id="rId11" Type="http://schemas.openxmlformats.org/officeDocument/2006/relationships/image" Target="media/image3.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1146</Words>
  <Characters>1280</Characters>
  <Lines>187</Lines>
  <Paragraphs>52</Paragraphs>
  <TotalTime>4</TotalTime>
  <ScaleCrop>false</ScaleCrop>
  <LinksUpToDate>false</LinksUpToDate>
  <CharactersWithSpaces>1361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2025-02-27T15:04:00Z</dcterms:created>
  <dc:creator>a36374</dc:creator>
  <cp:lastModifiedBy>￡倚栏听风</cp:lastModifiedBy>
  <dcterms:modified xsi:type="dcterms:W3CDTF">2026-02-24T07:48:42Z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57EB2E07B9DB45FBA5EAE7520D267774_13</vt:lpwstr>
  </property>
  <property fmtid="{D5CDD505-2E9C-101B-9397-08002B2CF9AE}" pid="4" name="KSOTemplateDocerSaveRecord">
    <vt:lpwstr>eyJoZGlkIjoiYzA4NmUyNjE3MDM3NWVjNDQzMjBiZDQ1YjA4ZWM3OTYiLCJ1c2VySWQiOiIxMDAzNjY1MTM5In0=</vt:lpwstr>
  </property>
</Properties>
</file>